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44" w:rsidRDefault="00602463" w:rsidP="005610CB">
      <w:pPr>
        <w:spacing w:line="360" w:lineRule="auto"/>
        <w:jc w:val="both"/>
        <w:rPr>
          <w:rFonts w:ascii="Arial" w:hAnsi="Arial" w:cs="Arial"/>
          <w:b/>
          <w:sz w:val="20"/>
          <w:szCs w:val="20"/>
        </w:rPr>
      </w:pPr>
      <w:r>
        <w:rPr>
          <w:rFonts w:ascii="Arial" w:hAnsi="Arial" w:cs="Arial"/>
          <w:b/>
          <w:sz w:val="20"/>
          <w:szCs w:val="20"/>
        </w:rPr>
        <w:t>DTV</w:t>
      </w:r>
      <w:r w:rsidR="005610CB">
        <w:rPr>
          <w:rFonts w:ascii="Arial" w:hAnsi="Arial" w:cs="Arial"/>
          <w:b/>
          <w:sz w:val="20"/>
          <w:szCs w:val="20"/>
        </w:rPr>
        <w:t>:</w:t>
      </w:r>
      <w:r w:rsidR="00467BC0" w:rsidRPr="00467BC0">
        <w:rPr>
          <w:rFonts w:ascii="Arial" w:hAnsi="Arial" w:cs="Arial"/>
          <w:b/>
          <w:sz w:val="20"/>
          <w:szCs w:val="20"/>
        </w:rPr>
        <w:t xml:space="preserve"> </w:t>
      </w:r>
      <w:r>
        <w:rPr>
          <w:rFonts w:ascii="Arial" w:hAnsi="Arial" w:cs="Arial"/>
          <w:b/>
          <w:sz w:val="20"/>
          <w:szCs w:val="20"/>
        </w:rPr>
        <w:t>General Mandate</w:t>
      </w:r>
      <w:r w:rsidR="00D77F89">
        <w:rPr>
          <w:rFonts w:ascii="Arial" w:hAnsi="Arial" w:cs="Arial"/>
          <w:b/>
          <w:sz w:val="20"/>
          <w:szCs w:val="20"/>
        </w:rPr>
        <w:t xml:space="preserve"> 2020</w:t>
      </w:r>
    </w:p>
    <w:p w:rsidR="00467BC0" w:rsidRDefault="00B70D7E" w:rsidP="005610CB">
      <w:pPr>
        <w:spacing w:line="360" w:lineRule="auto"/>
        <w:jc w:val="both"/>
        <w:rPr>
          <w:rFonts w:ascii="Arial" w:hAnsi="Arial" w:cs="Arial"/>
          <w:sz w:val="20"/>
          <w:szCs w:val="20"/>
        </w:rPr>
      </w:pPr>
      <w:r>
        <w:rPr>
          <w:rFonts w:ascii="Arial" w:hAnsi="Arial" w:cs="Arial"/>
          <w:sz w:val="20"/>
          <w:szCs w:val="20"/>
        </w:rPr>
        <w:t xml:space="preserve">On </w:t>
      </w:r>
      <w:r w:rsidR="00602463">
        <w:rPr>
          <w:rFonts w:ascii="Arial" w:hAnsi="Arial" w:cs="Arial"/>
          <w:sz w:val="20"/>
          <w:szCs w:val="20"/>
        </w:rPr>
        <w:t>2</w:t>
      </w:r>
      <w:r w:rsidR="00A34999">
        <w:rPr>
          <w:rFonts w:ascii="Arial" w:hAnsi="Arial" w:cs="Arial"/>
          <w:sz w:val="20"/>
          <w:szCs w:val="20"/>
        </w:rPr>
        <w:t>7</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602463" w:rsidRPr="00602463">
        <w:rPr>
          <w:rFonts w:ascii="Arial" w:hAnsi="Arial" w:cs="Arial"/>
          <w:sz w:val="20"/>
          <w:szCs w:val="20"/>
        </w:rPr>
        <w:t>Tra</w:t>
      </w:r>
      <w:proofErr w:type="spellEnd"/>
      <w:r w:rsidR="00602463" w:rsidRPr="00602463">
        <w:rPr>
          <w:rFonts w:ascii="Arial" w:hAnsi="Arial" w:cs="Arial"/>
          <w:sz w:val="20"/>
          <w:szCs w:val="20"/>
        </w:rPr>
        <w:t xml:space="preserve"> </w:t>
      </w:r>
      <w:proofErr w:type="spellStart"/>
      <w:r w:rsidR="00602463" w:rsidRPr="00602463">
        <w:rPr>
          <w:rFonts w:ascii="Arial" w:hAnsi="Arial" w:cs="Arial"/>
          <w:sz w:val="20"/>
          <w:szCs w:val="20"/>
        </w:rPr>
        <w:t>Vinh</w:t>
      </w:r>
      <w:proofErr w:type="spellEnd"/>
      <w:r w:rsidR="00602463" w:rsidRPr="00602463">
        <w:rPr>
          <w:rFonts w:ascii="Arial" w:hAnsi="Arial" w:cs="Arial"/>
          <w:sz w:val="20"/>
          <w:szCs w:val="20"/>
        </w:rPr>
        <w:t xml:space="preserve"> Rural Electric Development Joint Stock Company</w:t>
      </w:r>
      <w:r w:rsidR="00602463">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w:t>
      </w:r>
      <w:r w:rsidR="00602463">
        <w:rPr>
          <w:rFonts w:ascii="Arial" w:hAnsi="Arial" w:cs="Arial"/>
          <w:sz w:val="20"/>
          <w:szCs w:val="20"/>
        </w:rPr>
        <w:t>General Mandate</w:t>
      </w:r>
      <w:r w:rsidR="00D77F89" w:rsidRPr="00D77F89">
        <w:rPr>
          <w:rFonts w:ascii="Arial" w:hAnsi="Arial" w:cs="Arial"/>
          <w:sz w:val="20"/>
          <w:szCs w:val="20"/>
        </w:rPr>
        <w:t xml:space="preserve"> 2020</w:t>
      </w:r>
      <w:r w:rsidR="00D77F89">
        <w:rPr>
          <w:rFonts w:ascii="Arial" w:hAnsi="Arial" w:cs="Arial"/>
          <w:sz w:val="20"/>
          <w:szCs w:val="20"/>
        </w:rPr>
        <w:t xml:space="preserve"> </w:t>
      </w:r>
      <w:r w:rsidR="00132EC5">
        <w:rPr>
          <w:rFonts w:ascii="Arial" w:hAnsi="Arial" w:cs="Arial"/>
          <w:sz w:val="20"/>
          <w:szCs w:val="20"/>
        </w:rPr>
        <w:t xml:space="preserve">as </w:t>
      </w:r>
      <w:r w:rsidR="00467BC0">
        <w:rPr>
          <w:rFonts w:ascii="Arial" w:hAnsi="Arial" w:cs="Arial"/>
          <w:sz w:val="20"/>
          <w:szCs w:val="20"/>
        </w:rPr>
        <w:t>follows:</w:t>
      </w:r>
    </w:p>
    <w:p w:rsidR="00602463" w:rsidRDefault="00602463" w:rsidP="005610CB">
      <w:pPr>
        <w:spacing w:line="360" w:lineRule="auto"/>
        <w:jc w:val="both"/>
        <w:rPr>
          <w:rFonts w:ascii="Arial" w:hAnsi="Arial" w:cs="Arial"/>
          <w:sz w:val="20"/>
          <w:szCs w:val="20"/>
        </w:rPr>
      </w:pPr>
      <w:r>
        <w:rPr>
          <w:rFonts w:ascii="Arial" w:hAnsi="Arial" w:cs="Arial"/>
          <w:sz w:val="20"/>
          <w:szCs w:val="20"/>
        </w:rPr>
        <w:t>Article 1: Approve the</w:t>
      </w:r>
      <w:r w:rsidRPr="00602463">
        <w:rPr>
          <w:rFonts w:ascii="Arial" w:hAnsi="Arial" w:cs="Arial"/>
          <w:sz w:val="20"/>
          <w:szCs w:val="20"/>
        </w:rPr>
        <w:t xml:space="preserve"> report</w:t>
      </w:r>
      <w:r w:rsidRPr="00602463">
        <w:rPr>
          <w:rFonts w:ascii="Arial" w:hAnsi="Arial" w:cs="Arial"/>
          <w:sz w:val="20"/>
          <w:szCs w:val="20"/>
        </w:rPr>
        <w:t xml:space="preserve"> </w:t>
      </w:r>
      <w:r>
        <w:rPr>
          <w:rFonts w:ascii="Arial" w:hAnsi="Arial" w:cs="Arial"/>
          <w:sz w:val="20"/>
          <w:szCs w:val="20"/>
        </w:rPr>
        <w:t xml:space="preserve">on </w:t>
      </w:r>
      <w:r w:rsidRPr="00602463">
        <w:rPr>
          <w:rFonts w:ascii="Arial" w:hAnsi="Arial" w:cs="Arial"/>
          <w:sz w:val="20"/>
          <w:szCs w:val="20"/>
        </w:rPr>
        <w:t>activities</w:t>
      </w:r>
      <w:r>
        <w:rPr>
          <w:rFonts w:ascii="Arial" w:hAnsi="Arial" w:cs="Arial"/>
          <w:sz w:val="20"/>
          <w:szCs w:val="20"/>
        </w:rPr>
        <w:t xml:space="preserve"> of Board of Directors</w:t>
      </w:r>
      <w:r w:rsidRPr="00602463">
        <w:rPr>
          <w:rFonts w:ascii="Arial" w:hAnsi="Arial" w:cs="Arial"/>
          <w:sz w:val="20"/>
          <w:szCs w:val="20"/>
        </w:rPr>
        <w:t xml:space="preserve"> in 2019 and the operation plan in 2020 with the following main contents: </w:t>
      </w:r>
    </w:p>
    <w:p w:rsidR="00602463" w:rsidRDefault="00602463" w:rsidP="005610CB">
      <w:pPr>
        <w:spacing w:line="360" w:lineRule="auto"/>
        <w:jc w:val="both"/>
        <w:rPr>
          <w:rFonts w:ascii="Arial" w:hAnsi="Arial" w:cs="Arial"/>
          <w:sz w:val="20"/>
          <w:szCs w:val="20"/>
        </w:rPr>
      </w:pPr>
      <w:r>
        <w:rPr>
          <w:rFonts w:ascii="Arial" w:hAnsi="Arial" w:cs="Arial"/>
          <w:sz w:val="20"/>
          <w:szCs w:val="20"/>
        </w:rPr>
        <w:t xml:space="preserve">1. </w:t>
      </w:r>
      <w:r w:rsidRPr="00602463">
        <w:rPr>
          <w:rFonts w:ascii="Arial" w:hAnsi="Arial" w:cs="Arial"/>
          <w:sz w:val="20"/>
          <w:szCs w:val="20"/>
        </w:rPr>
        <w:t xml:space="preserve">Business results in 2019: </w:t>
      </w:r>
    </w:p>
    <w:p w:rsidR="00602463" w:rsidRDefault="00602463" w:rsidP="005610CB">
      <w:pPr>
        <w:spacing w:line="360" w:lineRule="auto"/>
        <w:jc w:val="both"/>
        <w:rPr>
          <w:rFonts w:ascii="Arial" w:hAnsi="Arial" w:cs="Arial"/>
          <w:sz w:val="20"/>
          <w:szCs w:val="20"/>
        </w:rPr>
      </w:pPr>
      <w:r w:rsidRPr="00602463">
        <w:rPr>
          <w:rFonts w:ascii="Arial" w:hAnsi="Arial" w:cs="Arial"/>
          <w:sz w:val="20"/>
          <w:szCs w:val="20"/>
        </w:rPr>
        <w:t xml:space="preserve">- Total revenue: </w:t>
      </w:r>
      <w:r w:rsidRPr="00602463">
        <w:rPr>
          <w:rFonts w:ascii="Arial" w:hAnsi="Arial" w:cs="Arial"/>
          <w:sz w:val="20"/>
          <w:szCs w:val="20"/>
        </w:rPr>
        <w:t>VND</w:t>
      </w:r>
      <w:r w:rsidRPr="00602463">
        <w:rPr>
          <w:rFonts w:ascii="Arial" w:hAnsi="Arial" w:cs="Arial"/>
          <w:sz w:val="20"/>
          <w:szCs w:val="20"/>
        </w:rPr>
        <w:t xml:space="preserve"> 492</w:t>
      </w:r>
      <w:r>
        <w:rPr>
          <w:rFonts w:ascii="Arial" w:hAnsi="Arial" w:cs="Arial"/>
          <w:sz w:val="20"/>
          <w:szCs w:val="20"/>
        </w:rPr>
        <w:t>.</w:t>
      </w:r>
      <w:r w:rsidRPr="00602463">
        <w:rPr>
          <w:rFonts w:ascii="Arial" w:hAnsi="Arial" w:cs="Arial"/>
          <w:sz w:val="20"/>
          <w:szCs w:val="20"/>
        </w:rPr>
        <w:t>802 billion - reaching 102</w:t>
      </w:r>
      <w:r>
        <w:rPr>
          <w:rFonts w:ascii="Arial" w:hAnsi="Arial" w:cs="Arial"/>
          <w:sz w:val="20"/>
          <w:szCs w:val="20"/>
        </w:rPr>
        <w:t>.</w:t>
      </w:r>
      <w:r w:rsidRPr="00602463">
        <w:rPr>
          <w:rFonts w:ascii="Arial" w:hAnsi="Arial" w:cs="Arial"/>
          <w:sz w:val="20"/>
          <w:szCs w:val="20"/>
        </w:rPr>
        <w:t xml:space="preserve">78% </w:t>
      </w:r>
    </w:p>
    <w:p w:rsidR="00602463" w:rsidRDefault="00602463" w:rsidP="005610CB">
      <w:pPr>
        <w:spacing w:line="360" w:lineRule="auto"/>
        <w:jc w:val="both"/>
        <w:rPr>
          <w:rFonts w:ascii="Arial" w:hAnsi="Arial" w:cs="Arial"/>
          <w:sz w:val="20"/>
          <w:szCs w:val="20"/>
        </w:rPr>
      </w:pPr>
      <w:r w:rsidRPr="00602463">
        <w:rPr>
          <w:rFonts w:ascii="Arial" w:hAnsi="Arial" w:cs="Arial"/>
          <w:sz w:val="20"/>
          <w:szCs w:val="20"/>
        </w:rPr>
        <w:t>- Commercial electricity output: 263</w:t>
      </w:r>
      <w:r>
        <w:rPr>
          <w:rFonts w:ascii="Arial" w:hAnsi="Arial" w:cs="Arial"/>
          <w:sz w:val="20"/>
          <w:szCs w:val="20"/>
        </w:rPr>
        <w:t>.</w:t>
      </w:r>
      <w:r w:rsidRPr="00602463">
        <w:rPr>
          <w:rFonts w:ascii="Arial" w:hAnsi="Arial" w:cs="Arial"/>
          <w:sz w:val="20"/>
          <w:szCs w:val="20"/>
        </w:rPr>
        <w:t>778 million kWh - reaching 96</w:t>
      </w:r>
      <w:r>
        <w:rPr>
          <w:rFonts w:ascii="Arial" w:hAnsi="Arial" w:cs="Arial"/>
          <w:sz w:val="20"/>
          <w:szCs w:val="20"/>
        </w:rPr>
        <w:t>.</w:t>
      </w:r>
      <w:r w:rsidRPr="00602463">
        <w:rPr>
          <w:rFonts w:ascii="Arial" w:hAnsi="Arial" w:cs="Arial"/>
          <w:sz w:val="20"/>
          <w:szCs w:val="20"/>
        </w:rPr>
        <w:t xml:space="preserve">10% </w:t>
      </w:r>
    </w:p>
    <w:p w:rsidR="00602463" w:rsidRDefault="00602463" w:rsidP="005610CB">
      <w:pPr>
        <w:spacing w:line="360" w:lineRule="auto"/>
        <w:jc w:val="both"/>
        <w:rPr>
          <w:rFonts w:ascii="Arial" w:hAnsi="Arial" w:cs="Arial"/>
          <w:sz w:val="20"/>
          <w:szCs w:val="20"/>
        </w:rPr>
      </w:pPr>
      <w:r>
        <w:rPr>
          <w:rFonts w:ascii="Arial" w:hAnsi="Arial" w:cs="Arial"/>
          <w:sz w:val="20"/>
          <w:szCs w:val="20"/>
        </w:rPr>
        <w:t>- Profit before tax:</w:t>
      </w:r>
      <w:r w:rsidRPr="00602463">
        <w:rPr>
          <w:rFonts w:ascii="Arial" w:hAnsi="Arial" w:cs="Arial"/>
          <w:sz w:val="20"/>
          <w:szCs w:val="20"/>
        </w:rPr>
        <w:t xml:space="preserve"> </w:t>
      </w:r>
      <w:r w:rsidRPr="00602463">
        <w:rPr>
          <w:rFonts w:ascii="Arial" w:hAnsi="Arial" w:cs="Arial"/>
          <w:sz w:val="20"/>
          <w:szCs w:val="20"/>
        </w:rPr>
        <w:t>VND</w:t>
      </w:r>
      <w:r w:rsidRPr="00602463">
        <w:rPr>
          <w:rFonts w:ascii="Arial" w:hAnsi="Arial" w:cs="Arial"/>
          <w:sz w:val="20"/>
          <w:szCs w:val="20"/>
        </w:rPr>
        <w:t xml:space="preserve"> 26</w:t>
      </w:r>
      <w:r>
        <w:rPr>
          <w:rFonts w:ascii="Arial" w:hAnsi="Arial" w:cs="Arial"/>
          <w:sz w:val="20"/>
          <w:szCs w:val="20"/>
        </w:rPr>
        <w:t>.</w:t>
      </w:r>
      <w:r w:rsidRPr="00602463">
        <w:rPr>
          <w:rFonts w:ascii="Arial" w:hAnsi="Arial" w:cs="Arial"/>
          <w:sz w:val="20"/>
          <w:szCs w:val="20"/>
        </w:rPr>
        <w:t>006 billion - reaching 91</w:t>
      </w:r>
      <w:r>
        <w:rPr>
          <w:rFonts w:ascii="Arial" w:hAnsi="Arial" w:cs="Arial"/>
          <w:sz w:val="20"/>
          <w:szCs w:val="20"/>
        </w:rPr>
        <w:t>.89%</w:t>
      </w:r>
    </w:p>
    <w:p w:rsidR="00602463" w:rsidRDefault="00602463" w:rsidP="005610CB">
      <w:pPr>
        <w:spacing w:line="360" w:lineRule="auto"/>
        <w:jc w:val="both"/>
        <w:rPr>
          <w:rFonts w:ascii="Arial" w:hAnsi="Arial" w:cs="Arial"/>
          <w:sz w:val="20"/>
          <w:szCs w:val="20"/>
        </w:rPr>
      </w:pPr>
      <w:r>
        <w:rPr>
          <w:rFonts w:ascii="Arial" w:hAnsi="Arial" w:cs="Arial"/>
          <w:sz w:val="20"/>
          <w:szCs w:val="20"/>
        </w:rPr>
        <w:t>- Dividend rate: 30%</w:t>
      </w:r>
      <w:r w:rsidRPr="00602463">
        <w:rPr>
          <w:rFonts w:ascii="Arial" w:hAnsi="Arial" w:cs="Arial"/>
          <w:sz w:val="20"/>
          <w:szCs w:val="20"/>
        </w:rPr>
        <w:t xml:space="preserve">/ year - reaching 150% </w:t>
      </w:r>
    </w:p>
    <w:p w:rsidR="00602463" w:rsidRDefault="00602463" w:rsidP="005610CB">
      <w:pPr>
        <w:spacing w:line="360" w:lineRule="auto"/>
        <w:jc w:val="both"/>
        <w:rPr>
          <w:rFonts w:ascii="Arial" w:hAnsi="Arial" w:cs="Arial"/>
          <w:sz w:val="20"/>
          <w:szCs w:val="20"/>
        </w:rPr>
      </w:pPr>
      <w:r>
        <w:rPr>
          <w:rFonts w:ascii="Arial" w:hAnsi="Arial" w:cs="Arial"/>
          <w:sz w:val="20"/>
          <w:szCs w:val="20"/>
        </w:rPr>
        <w:t xml:space="preserve">2. </w:t>
      </w:r>
      <w:r w:rsidRPr="00602463">
        <w:rPr>
          <w:rFonts w:ascii="Arial" w:hAnsi="Arial" w:cs="Arial"/>
          <w:sz w:val="20"/>
          <w:szCs w:val="20"/>
        </w:rPr>
        <w:t xml:space="preserve">Business and production plan in 2020 with the following main targets: </w:t>
      </w:r>
    </w:p>
    <w:p w:rsidR="00602463" w:rsidRDefault="00602463" w:rsidP="005610CB">
      <w:pPr>
        <w:spacing w:line="360" w:lineRule="auto"/>
        <w:jc w:val="both"/>
        <w:rPr>
          <w:rFonts w:ascii="Arial" w:hAnsi="Arial" w:cs="Arial"/>
          <w:sz w:val="20"/>
          <w:szCs w:val="20"/>
        </w:rPr>
      </w:pPr>
      <w:r w:rsidRPr="00602463">
        <w:rPr>
          <w:rFonts w:ascii="Arial" w:hAnsi="Arial" w:cs="Arial"/>
          <w:sz w:val="20"/>
          <w:szCs w:val="20"/>
        </w:rPr>
        <w:t xml:space="preserve">- Total revenue: </w:t>
      </w:r>
      <w:r w:rsidRPr="00602463">
        <w:rPr>
          <w:rFonts w:ascii="Arial" w:hAnsi="Arial" w:cs="Arial"/>
          <w:sz w:val="20"/>
          <w:szCs w:val="20"/>
        </w:rPr>
        <w:t>VND</w:t>
      </w:r>
      <w:r w:rsidRPr="00602463">
        <w:rPr>
          <w:rFonts w:ascii="Arial" w:hAnsi="Arial" w:cs="Arial"/>
          <w:sz w:val="20"/>
          <w:szCs w:val="20"/>
        </w:rPr>
        <w:t xml:space="preserve"> 524</w:t>
      </w:r>
      <w:r>
        <w:rPr>
          <w:rFonts w:ascii="Arial" w:hAnsi="Arial" w:cs="Arial"/>
          <w:sz w:val="20"/>
          <w:szCs w:val="20"/>
        </w:rPr>
        <w:t>.</w:t>
      </w:r>
      <w:r w:rsidRPr="00602463">
        <w:rPr>
          <w:rFonts w:ascii="Arial" w:hAnsi="Arial" w:cs="Arial"/>
          <w:sz w:val="20"/>
          <w:szCs w:val="20"/>
        </w:rPr>
        <w:t xml:space="preserve">224 billion </w:t>
      </w:r>
    </w:p>
    <w:p w:rsidR="00602463" w:rsidRDefault="00602463" w:rsidP="005610CB">
      <w:pPr>
        <w:spacing w:line="360" w:lineRule="auto"/>
        <w:jc w:val="both"/>
        <w:rPr>
          <w:rFonts w:ascii="Arial" w:hAnsi="Arial" w:cs="Arial"/>
          <w:sz w:val="20"/>
          <w:szCs w:val="20"/>
        </w:rPr>
      </w:pPr>
      <w:r w:rsidRPr="00602463">
        <w:rPr>
          <w:rFonts w:ascii="Arial" w:hAnsi="Arial" w:cs="Arial"/>
          <w:sz w:val="20"/>
          <w:szCs w:val="20"/>
        </w:rPr>
        <w:t>Commercial electricity output: 276</w:t>
      </w:r>
      <w:r>
        <w:rPr>
          <w:rFonts w:ascii="Arial" w:hAnsi="Arial" w:cs="Arial"/>
          <w:sz w:val="20"/>
          <w:szCs w:val="20"/>
        </w:rPr>
        <w:t>.</w:t>
      </w:r>
      <w:r w:rsidRPr="00602463">
        <w:rPr>
          <w:rFonts w:ascii="Arial" w:hAnsi="Arial" w:cs="Arial"/>
          <w:sz w:val="20"/>
          <w:szCs w:val="20"/>
        </w:rPr>
        <w:t>566 million kWh</w:t>
      </w:r>
    </w:p>
    <w:p w:rsidR="00602463" w:rsidRDefault="00602463" w:rsidP="005610CB">
      <w:pPr>
        <w:spacing w:line="360" w:lineRule="auto"/>
        <w:jc w:val="both"/>
        <w:rPr>
          <w:rFonts w:ascii="Arial" w:hAnsi="Arial" w:cs="Arial"/>
          <w:sz w:val="20"/>
          <w:szCs w:val="20"/>
        </w:rPr>
      </w:pPr>
      <w:r w:rsidRPr="00602463">
        <w:rPr>
          <w:rFonts w:ascii="Arial" w:hAnsi="Arial" w:cs="Arial"/>
          <w:sz w:val="20"/>
          <w:szCs w:val="20"/>
        </w:rPr>
        <w:t xml:space="preserve">- Profit before tax: </w:t>
      </w:r>
      <w:r w:rsidRPr="00602463">
        <w:rPr>
          <w:rFonts w:ascii="Arial" w:hAnsi="Arial" w:cs="Arial"/>
          <w:sz w:val="20"/>
          <w:szCs w:val="20"/>
        </w:rPr>
        <w:t>VND</w:t>
      </w:r>
      <w:r w:rsidRPr="00602463">
        <w:rPr>
          <w:rFonts w:ascii="Arial" w:hAnsi="Arial" w:cs="Arial"/>
          <w:sz w:val="20"/>
          <w:szCs w:val="20"/>
        </w:rPr>
        <w:t xml:space="preserve"> 32</w:t>
      </w:r>
      <w:r>
        <w:rPr>
          <w:rFonts w:ascii="Arial" w:hAnsi="Arial" w:cs="Arial"/>
          <w:sz w:val="20"/>
          <w:szCs w:val="20"/>
        </w:rPr>
        <w:t>.</w:t>
      </w:r>
      <w:r w:rsidRPr="00602463">
        <w:rPr>
          <w:rFonts w:ascii="Arial" w:hAnsi="Arial" w:cs="Arial"/>
          <w:sz w:val="20"/>
          <w:szCs w:val="20"/>
        </w:rPr>
        <w:t>896 billion</w:t>
      </w:r>
    </w:p>
    <w:p w:rsidR="00602463" w:rsidRDefault="00602463" w:rsidP="005610CB">
      <w:pPr>
        <w:spacing w:line="360" w:lineRule="auto"/>
        <w:jc w:val="both"/>
        <w:rPr>
          <w:rFonts w:ascii="Arial" w:hAnsi="Arial" w:cs="Arial"/>
          <w:sz w:val="20"/>
          <w:szCs w:val="20"/>
        </w:rPr>
      </w:pPr>
      <w:r>
        <w:rPr>
          <w:rFonts w:ascii="Arial" w:hAnsi="Arial" w:cs="Arial"/>
          <w:sz w:val="20"/>
          <w:szCs w:val="20"/>
        </w:rPr>
        <w:t>- Dividend rate: 20%</w:t>
      </w:r>
      <w:r w:rsidRPr="00602463">
        <w:rPr>
          <w:rFonts w:ascii="Arial" w:hAnsi="Arial" w:cs="Arial"/>
          <w:sz w:val="20"/>
          <w:szCs w:val="20"/>
        </w:rPr>
        <w:t>/ year</w:t>
      </w:r>
    </w:p>
    <w:p w:rsidR="00602463" w:rsidRDefault="00602463" w:rsidP="005610CB">
      <w:pPr>
        <w:spacing w:line="360" w:lineRule="auto"/>
        <w:jc w:val="both"/>
        <w:rPr>
          <w:rFonts w:ascii="Arial" w:hAnsi="Arial" w:cs="Arial"/>
          <w:sz w:val="20"/>
          <w:szCs w:val="20"/>
        </w:rPr>
      </w:pPr>
      <w:r>
        <w:rPr>
          <w:rFonts w:ascii="Arial" w:hAnsi="Arial" w:cs="Arial"/>
          <w:sz w:val="20"/>
          <w:szCs w:val="20"/>
        </w:rPr>
        <w:t>Article 2:</w:t>
      </w:r>
      <w:r w:rsidRPr="00602463">
        <w:rPr>
          <w:rFonts w:ascii="Arial" w:hAnsi="Arial" w:cs="Arial"/>
          <w:sz w:val="20"/>
          <w:szCs w:val="20"/>
        </w:rPr>
        <w:t xml:space="preserve"> Approving the Statement of dismissal and election of additional members of the Supervisory Board:</w:t>
      </w:r>
    </w:p>
    <w:p w:rsidR="00602463" w:rsidRDefault="00602463" w:rsidP="005610CB">
      <w:pPr>
        <w:spacing w:line="360" w:lineRule="auto"/>
        <w:jc w:val="both"/>
        <w:rPr>
          <w:rFonts w:ascii="Arial" w:hAnsi="Arial" w:cs="Arial"/>
          <w:sz w:val="20"/>
          <w:szCs w:val="20"/>
        </w:rPr>
      </w:pPr>
      <w:r w:rsidRPr="00602463">
        <w:rPr>
          <w:rFonts w:ascii="Arial" w:hAnsi="Arial" w:cs="Arial"/>
          <w:sz w:val="20"/>
          <w:szCs w:val="20"/>
        </w:rPr>
        <w:t xml:space="preserve">The </w:t>
      </w:r>
      <w:r>
        <w:rPr>
          <w:rFonts w:ascii="Arial" w:hAnsi="Arial" w:cs="Arial"/>
          <w:sz w:val="20"/>
          <w:szCs w:val="20"/>
        </w:rPr>
        <w:t>General Meeting of Shareholders</w:t>
      </w:r>
      <w:r w:rsidRPr="00602463">
        <w:rPr>
          <w:rFonts w:ascii="Arial" w:hAnsi="Arial" w:cs="Arial"/>
          <w:sz w:val="20"/>
          <w:szCs w:val="20"/>
        </w:rPr>
        <w:t xml:space="preserve"> dismissed Ms.</w:t>
      </w:r>
      <w:r>
        <w:rPr>
          <w:rFonts w:ascii="Arial" w:hAnsi="Arial" w:cs="Arial"/>
          <w:sz w:val="20"/>
          <w:szCs w:val="20"/>
        </w:rPr>
        <w:t xml:space="preserve"> </w:t>
      </w:r>
      <w:proofErr w:type="spellStart"/>
      <w:r w:rsidRPr="00602463">
        <w:rPr>
          <w:rFonts w:ascii="Arial" w:hAnsi="Arial" w:cs="Arial"/>
          <w:sz w:val="20"/>
          <w:szCs w:val="20"/>
        </w:rPr>
        <w:t>Luong</w:t>
      </w:r>
      <w:proofErr w:type="spellEnd"/>
      <w:r w:rsidRPr="00602463">
        <w:rPr>
          <w:rFonts w:ascii="Arial" w:hAnsi="Arial" w:cs="Arial"/>
          <w:sz w:val="20"/>
          <w:szCs w:val="20"/>
        </w:rPr>
        <w:t xml:space="preserve"> Thu Hang and nominated for additional election of Mr. Nguyen Ngoc </w:t>
      </w:r>
      <w:proofErr w:type="spellStart"/>
      <w:r w:rsidRPr="00602463">
        <w:rPr>
          <w:rFonts w:ascii="Arial" w:hAnsi="Arial" w:cs="Arial"/>
          <w:sz w:val="20"/>
          <w:szCs w:val="20"/>
        </w:rPr>
        <w:t>Thi</w:t>
      </w:r>
      <w:r>
        <w:rPr>
          <w:rFonts w:ascii="Arial" w:hAnsi="Arial" w:cs="Arial"/>
          <w:sz w:val="20"/>
          <w:szCs w:val="20"/>
        </w:rPr>
        <w:t>en</w:t>
      </w:r>
      <w:proofErr w:type="spellEnd"/>
    </w:p>
    <w:p w:rsidR="00602463" w:rsidRDefault="00602463" w:rsidP="005610CB">
      <w:pPr>
        <w:spacing w:line="360" w:lineRule="auto"/>
        <w:jc w:val="both"/>
        <w:rPr>
          <w:rFonts w:ascii="Arial" w:hAnsi="Arial" w:cs="Arial"/>
          <w:sz w:val="20"/>
          <w:szCs w:val="20"/>
        </w:rPr>
      </w:pPr>
      <w:r>
        <w:rPr>
          <w:rFonts w:ascii="Arial" w:hAnsi="Arial" w:cs="Arial"/>
          <w:sz w:val="20"/>
          <w:szCs w:val="20"/>
        </w:rPr>
        <w:t>Article 3:</w:t>
      </w:r>
      <w:r w:rsidRPr="00602463">
        <w:rPr>
          <w:rFonts w:ascii="Arial" w:hAnsi="Arial" w:cs="Arial"/>
          <w:sz w:val="20"/>
          <w:szCs w:val="20"/>
        </w:rPr>
        <w:t xml:space="preserve"> Approving the Statement of dismissal and election of additional members of the Board of Directors: </w:t>
      </w:r>
      <w:r>
        <w:rPr>
          <w:rFonts w:ascii="Arial" w:hAnsi="Arial" w:cs="Arial"/>
          <w:sz w:val="20"/>
          <w:szCs w:val="20"/>
        </w:rPr>
        <w:t xml:space="preserve">The General Meeting of Shareholders </w:t>
      </w:r>
      <w:r w:rsidRPr="00602463">
        <w:rPr>
          <w:rFonts w:ascii="Arial" w:hAnsi="Arial" w:cs="Arial"/>
          <w:sz w:val="20"/>
          <w:szCs w:val="20"/>
        </w:rPr>
        <w:t xml:space="preserve">dismissed Mr. Nguyen </w:t>
      </w:r>
      <w:proofErr w:type="spellStart"/>
      <w:r w:rsidRPr="00602463">
        <w:rPr>
          <w:rFonts w:ascii="Arial" w:hAnsi="Arial" w:cs="Arial"/>
          <w:sz w:val="20"/>
          <w:szCs w:val="20"/>
        </w:rPr>
        <w:t>Trong</w:t>
      </w:r>
      <w:proofErr w:type="spellEnd"/>
      <w:r w:rsidRPr="00602463">
        <w:rPr>
          <w:rFonts w:ascii="Arial" w:hAnsi="Arial" w:cs="Arial"/>
          <w:sz w:val="20"/>
          <w:szCs w:val="20"/>
        </w:rPr>
        <w:t xml:space="preserve"> </w:t>
      </w:r>
      <w:proofErr w:type="spellStart"/>
      <w:r w:rsidRPr="00602463">
        <w:rPr>
          <w:rFonts w:ascii="Arial" w:hAnsi="Arial" w:cs="Arial"/>
          <w:sz w:val="20"/>
          <w:szCs w:val="20"/>
        </w:rPr>
        <w:t>Hien</w:t>
      </w:r>
      <w:proofErr w:type="spellEnd"/>
      <w:r w:rsidRPr="00602463">
        <w:rPr>
          <w:rFonts w:ascii="Arial" w:hAnsi="Arial" w:cs="Arial"/>
          <w:sz w:val="20"/>
          <w:szCs w:val="20"/>
        </w:rPr>
        <w:t xml:space="preserve"> and Mr. Nguyen Tong Son and nominated for additional election of Mr. Nguyen </w:t>
      </w:r>
      <w:proofErr w:type="spellStart"/>
      <w:r w:rsidRPr="00602463">
        <w:rPr>
          <w:rFonts w:ascii="Arial" w:hAnsi="Arial" w:cs="Arial"/>
          <w:sz w:val="20"/>
          <w:szCs w:val="20"/>
        </w:rPr>
        <w:t>Phon</w:t>
      </w:r>
      <w:r>
        <w:rPr>
          <w:rFonts w:ascii="Arial" w:hAnsi="Arial" w:cs="Arial"/>
          <w:sz w:val="20"/>
          <w:szCs w:val="20"/>
        </w:rPr>
        <w:t>g</w:t>
      </w:r>
      <w:proofErr w:type="spellEnd"/>
      <w:r>
        <w:rPr>
          <w:rFonts w:ascii="Arial" w:hAnsi="Arial" w:cs="Arial"/>
          <w:sz w:val="20"/>
          <w:szCs w:val="20"/>
        </w:rPr>
        <w:t xml:space="preserve"> </w:t>
      </w:r>
      <w:proofErr w:type="spellStart"/>
      <w:r>
        <w:rPr>
          <w:rFonts w:ascii="Arial" w:hAnsi="Arial" w:cs="Arial"/>
          <w:sz w:val="20"/>
          <w:szCs w:val="20"/>
        </w:rPr>
        <w:t>Danh</w:t>
      </w:r>
      <w:proofErr w:type="spellEnd"/>
      <w:r>
        <w:rPr>
          <w:rFonts w:ascii="Arial" w:hAnsi="Arial" w:cs="Arial"/>
          <w:sz w:val="20"/>
          <w:szCs w:val="20"/>
        </w:rPr>
        <w:t xml:space="preserve"> and Ms. </w:t>
      </w:r>
      <w:proofErr w:type="spellStart"/>
      <w:r>
        <w:rPr>
          <w:rFonts w:ascii="Arial" w:hAnsi="Arial" w:cs="Arial"/>
          <w:sz w:val="20"/>
          <w:szCs w:val="20"/>
        </w:rPr>
        <w:t>Luong</w:t>
      </w:r>
      <w:proofErr w:type="spellEnd"/>
      <w:r>
        <w:rPr>
          <w:rFonts w:ascii="Arial" w:hAnsi="Arial" w:cs="Arial"/>
          <w:sz w:val="20"/>
          <w:szCs w:val="20"/>
        </w:rPr>
        <w:t xml:space="preserve"> Thu Hang</w:t>
      </w:r>
    </w:p>
    <w:p w:rsidR="00602463" w:rsidRDefault="00602463" w:rsidP="005610CB">
      <w:pPr>
        <w:spacing w:line="360" w:lineRule="auto"/>
        <w:jc w:val="both"/>
        <w:rPr>
          <w:rFonts w:ascii="Arial" w:hAnsi="Arial" w:cs="Arial"/>
          <w:sz w:val="20"/>
          <w:szCs w:val="20"/>
        </w:rPr>
      </w:pPr>
      <w:r>
        <w:rPr>
          <w:rFonts w:ascii="Arial" w:hAnsi="Arial" w:cs="Arial"/>
          <w:sz w:val="20"/>
          <w:szCs w:val="20"/>
        </w:rPr>
        <w:t xml:space="preserve">Article 4: </w:t>
      </w:r>
      <w:r w:rsidRPr="00602463">
        <w:rPr>
          <w:rFonts w:ascii="Arial" w:hAnsi="Arial" w:cs="Arial"/>
          <w:sz w:val="20"/>
          <w:szCs w:val="20"/>
        </w:rPr>
        <w:t xml:space="preserve">Approving the Statement of approval for the implementation of production and business results in 2019 and the business plan for 2020: </w:t>
      </w:r>
    </w:p>
    <w:p w:rsidR="00602463" w:rsidRDefault="00602463" w:rsidP="005610CB">
      <w:pPr>
        <w:spacing w:line="360" w:lineRule="auto"/>
        <w:jc w:val="both"/>
        <w:rPr>
          <w:rFonts w:ascii="Arial" w:hAnsi="Arial" w:cs="Arial"/>
          <w:sz w:val="20"/>
          <w:szCs w:val="20"/>
        </w:rPr>
      </w:pPr>
      <w:r>
        <w:rPr>
          <w:rFonts w:ascii="Arial" w:hAnsi="Arial" w:cs="Arial"/>
          <w:sz w:val="20"/>
          <w:szCs w:val="20"/>
        </w:rPr>
        <w:t xml:space="preserve">1. </w:t>
      </w:r>
      <w:r w:rsidRPr="00602463">
        <w:rPr>
          <w:rFonts w:ascii="Arial" w:hAnsi="Arial" w:cs="Arial"/>
          <w:sz w:val="20"/>
          <w:szCs w:val="20"/>
        </w:rPr>
        <w:t xml:space="preserve">Business performance results in 2019 </w:t>
      </w:r>
    </w:p>
    <w:tbl>
      <w:tblPr>
        <w:tblStyle w:val="TableGrid"/>
        <w:tblW w:w="0" w:type="auto"/>
        <w:tblLook w:val="04A0" w:firstRow="1" w:lastRow="0" w:firstColumn="1" w:lastColumn="0" w:noHBand="0" w:noVBand="1"/>
      </w:tblPr>
      <w:tblGrid>
        <w:gridCol w:w="558"/>
        <w:gridCol w:w="2634"/>
        <w:gridCol w:w="1596"/>
        <w:gridCol w:w="1596"/>
        <w:gridCol w:w="1596"/>
        <w:gridCol w:w="1596"/>
      </w:tblGrid>
      <w:tr w:rsidR="00474FB3" w:rsidTr="00474FB3">
        <w:tc>
          <w:tcPr>
            <w:tcW w:w="558"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No.</w:t>
            </w:r>
          </w:p>
        </w:tc>
        <w:tc>
          <w:tcPr>
            <w:tcW w:w="2634"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Indicators</w:t>
            </w:r>
          </w:p>
        </w:tc>
        <w:tc>
          <w:tcPr>
            <w:tcW w:w="1596"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Unit</w:t>
            </w:r>
          </w:p>
        </w:tc>
        <w:tc>
          <w:tcPr>
            <w:tcW w:w="1596"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Plan 2019</w:t>
            </w:r>
          </w:p>
        </w:tc>
        <w:tc>
          <w:tcPr>
            <w:tcW w:w="1596"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Realization 2019</w:t>
            </w:r>
          </w:p>
        </w:tc>
        <w:tc>
          <w:tcPr>
            <w:tcW w:w="1596"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Realization 2019</w:t>
            </w:r>
            <w:r>
              <w:rPr>
                <w:rFonts w:ascii="Arial" w:hAnsi="Arial" w:cs="Arial"/>
                <w:sz w:val="20"/>
                <w:szCs w:val="20"/>
              </w:rPr>
              <w:t xml:space="preserve">/ </w:t>
            </w:r>
            <w:r>
              <w:rPr>
                <w:rFonts w:ascii="Arial" w:hAnsi="Arial" w:cs="Arial"/>
                <w:sz w:val="20"/>
                <w:szCs w:val="20"/>
              </w:rPr>
              <w:t xml:space="preserve">Plan </w:t>
            </w:r>
            <w:r>
              <w:rPr>
                <w:rFonts w:ascii="Arial" w:hAnsi="Arial" w:cs="Arial"/>
                <w:sz w:val="20"/>
                <w:szCs w:val="20"/>
              </w:rPr>
              <w:lastRenderedPageBreak/>
              <w:t>2019</w:t>
            </w:r>
          </w:p>
        </w:tc>
      </w:tr>
      <w:tr w:rsidR="00474FB3" w:rsidTr="00474FB3">
        <w:tc>
          <w:tcPr>
            <w:tcW w:w="558" w:type="dxa"/>
          </w:tcPr>
          <w:p w:rsidR="00474FB3" w:rsidRPr="00474FB3" w:rsidRDefault="00474FB3" w:rsidP="00474FB3">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Electricity output</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Million kWh</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274</w:t>
            </w:r>
            <w:r>
              <w:rPr>
                <w:rFonts w:ascii="Arial" w:hAnsi="Arial" w:cs="Arial"/>
                <w:sz w:val="20"/>
                <w:szCs w:val="20"/>
              </w:rPr>
              <w:t>.</w:t>
            </w:r>
            <w:r w:rsidRPr="00602463">
              <w:rPr>
                <w:rFonts w:ascii="Arial" w:hAnsi="Arial" w:cs="Arial"/>
                <w:sz w:val="20"/>
                <w:szCs w:val="20"/>
              </w:rPr>
              <w:t>494</w:t>
            </w:r>
          </w:p>
        </w:tc>
        <w:tc>
          <w:tcPr>
            <w:tcW w:w="1596" w:type="dxa"/>
          </w:tcPr>
          <w:p w:rsidR="00474FB3" w:rsidRDefault="00474FB3" w:rsidP="00474FB3">
            <w:pPr>
              <w:spacing w:line="360" w:lineRule="auto"/>
              <w:jc w:val="both"/>
              <w:rPr>
                <w:rFonts w:ascii="Arial" w:hAnsi="Arial" w:cs="Arial"/>
                <w:sz w:val="20"/>
                <w:szCs w:val="20"/>
              </w:rPr>
            </w:pPr>
            <w:r w:rsidRPr="00602463">
              <w:rPr>
                <w:rFonts w:ascii="Arial" w:hAnsi="Arial" w:cs="Arial"/>
                <w:sz w:val="20"/>
                <w:szCs w:val="20"/>
              </w:rPr>
              <w:t>263</w:t>
            </w:r>
            <w:r>
              <w:rPr>
                <w:rFonts w:ascii="Arial" w:hAnsi="Arial" w:cs="Arial"/>
                <w:sz w:val="20"/>
                <w:szCs w:val="20"/>
              </w:rPr>
              <w:t>.</w:t>
            </w:r>
            <w:r w:rsidRPr="00602463">
              <w:rPr>
                <w:rFonts w:ascii="Arial" w:hAnsi="Arial" w:cs="Arial"/>
                <w:sz w:val="20"/>
                <w:szCs w:val="20"/>
              </w:rPr>
              <w:t xml:space="preserve">778 </w:t>
            </w:r>
          </w:p>
        </w:tc>
        <w:tc>
          <w:tcPr>
            <w:tcW w:w="1596" w:type="dxa"/>
          </w:tcPr>
          <w:p w:rsidR="00474FB3" w:rsidRDefault="00474FB3" w:rsidP="00474FB3">
            <w:pPr>
              <w:spacing w:line="360" w:lineRule="auto"/>
              <w:jc w:val="both"/>
              <w:rPr>
                <w:rFonts w:ascii="Arial" w:hAnsi="Arial" w:cs="Arial"/>
                <w:sz w:val="20"/>
                <w:szCs w:val="20"/>
              </w:rPr>
            </w:pPr>
            <w:r w:rsidRPr="00602463">
              <w:rPr>
                <w:rFonts w:ascii="Arial" w:hAnsi="Arial" w:cs="Arial"/>
                <w:sz w:val="20"/>
                <w:szCs w:val="20"/>
              </w:rPr>
              <w:t>96</w:t>
            </w:r>
            <w:r>
              <w:rPr>
                <w:rFonts w:ascii="Arial" w:hAnsi="Arial" w:cs="Arial"/>
                <w:sz w:val="20"/>
                <w:szCs w:val="20"/>
              </w:rPr>
              <w:t>.</w:t>
            </w:r>
            <w:r w:rsidRPr="00602463">
              <w:rPr>
                <w:rFonts w:ascii="Arial" w:hAnsi="Arial" w:cs="Arial"/>
                <w:sz w:val="20"/>
                <w:szCs w:val="20"/>
              </w:rPr>
              <w:t>10</w:t>
            </w:r>
          </w:p>
        </w:tc>
      </w:tr>
      <w:tr w:rsidR="00474FB3" w:rsidTr="00474FB3">
        <w:tc>
          <w:tcPr>
            <w:tcW w:w="558" w:type="dxa"/>
          </w:tcPr>
          <w:p w:rsidR="00474FB3" w:rsidRPr="00474FB3" w:rsidRDefault="00474FB3" w:rsidP="00474FB3">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Total revenue</w:t>
            </w:r>
          </w:p>
        </w:tc>
        <w:tc>
          <w:tcPr>
            <w:tcW w:w="1596" w:type="dxa"/>
          </w:tcPr>
          <w:p w:rsidR="00474FB3" w:rsidRDefault="00474FB3" w:rsidP="00474FB3">
            <w:pPr>
              <w:spacing w:line="360" w:lineRule="auto"/>
              <w:jc w:val="both"/>
              <w:rPr>
                <w:rFonts w:ascii="Arial" w:hAnsi="Arial" w:cs="Arial"/>
                <w:sz w:val="20"/>
                <w:szCs w:val="20"/>
              </w:rPr>
            </w:pPr>
            <w:r w:rsidRPr="00602463">
              <w:rPr>
                <w:rFonts w:ascii="Arial" w:hAnsi="Arial" w:cs="Arial"/>
                <w:sz w:val="20"/>
                <w:szCs w:val="20"/>
              </w:rPr>
              <w:t>VND</w:t>
            </w:r>
            <w:r w:rsidRPr="00602463">
              <w:rPr>
                <w:rFonts w:ascii="Arial" w:hAnsi="Arial" w:cs="Arial"/>
                <w:sz w:val="20"/>
                <w:szCs w:val="20"/>
              </w:rPr>
              <w:t xml:space="preserve"> </w:t>
            </w:r>
            <w:r w:rsidRPr="00602463">
              <w:rPr>
                <w:rFonts w:ascii="Arial" w:hAnsi="Arial" w:cs="Arial"/>
                <w:sz w:val="20"/>
                <w:szCs w:val="20"/>
              </w:rPr>
              <w:t xml:space="preserve">Million </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479</w:t>
            </w:r>
            <w:r>
              <w:rPr>
                <w:rFonts w:ascii="Arial" w:hAnsi="Arial" w:cs="Arial"/>
                <w:sz w:val="20"/>
                <w:szCs w:val="20"/>
              </w:rPr>
              <w:t>.</w:t>
            </w:r>
            <w:r w:rsidRPr="00602463">
              <w:rPr>
                <w:rFonts w:ascii="Arial" w:hAnsi="Arial" w:cs="Arial"/>
                <w:sz w:val="20"/>
                <w:szCs w:val="20"/>
              </w:rPr>
              <w:t>452</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492</w:t>
            </w:r>
            <w:r>
              <w:rPr>
                <w:rFonts w:ascii="Arial" w:hAnsi="Arial" w:cs="Arial"/>
                <w:sz w:val="20"/>
                <w:szCs w:val="20"/>
              </w:rPr>
              <w:t>.</w:t>
            </w:r>
            <w:r w:rsidRPr="00602463">
              <w:rPr>
                <w:rFonts w:ascii="Arial" w:hAnsi="Arial" w:cs="Arial"/>
                <w:sz w:val="20"/>
                <w:szCs w:val="20"/>
              </w:rPr>
              <w:t>802</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102</w:t>
            </w:r>
            <w:r>
              <w:rPr>
                <w:rFonts w:ascii="Arial" w:hAnsi="Arial" w:cs="Arial"/>
                <w:sz w:val="20"/>
                <w:szCs w:val="20"/>
              </w:rPr>
              <w:t>.</w:t>
            </w:r>
            <w:r w:rsidRPr="00602463">
              <w:rPr>
                <w:rFonts w:ascii="Arial" w:hAnsi="Arial" w:cs="Arial"/>
                <w:sz w:val="20"/>
                <w:szCs w:val="20"/>
              </w:rPr>
              <w:t>78</w:t>
            </w:r>
          </w:p>
        </w:tc>
      </w:tr>
      <w:tr w:rsidR="00474FB3" w:rsidTr="00474FB3">
        <w:tc>
          <w:tcPr>
            <w:tcW w:w="558" w:type="dxa"/>
          </w:tcPr>
          <w:p w:rsidR="00474FB3" w:rsidRPr="00474FB3" w:rsidRDefault="00474FB3" w:rsidP="00474FB3">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Profit before tax</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VND Million</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28</w:t>
            </w:r>
            <w:r>
              <w:rPr>
                <w:rFonts w:ascii="Arial" w:hAnsi="Arial" w:cs="Arial"/>
                <w:sz w:val="20"/>
                <w:szCs w:val="20"/>
              </w:rPr>
              <w:t>.</w:t>
            </w:r>
            <w:r w:rsidRPr="00602463">
              <w:rPr>
                <w:rFonts w:ascii="Arial" w:hAnsi="Arial" w:cs="Arial"/>
                <w:sz w:val="20"/>
                <w:szCs w:val="20"/>
              </w:rPr>
              <w:t>301</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26</w:t>
            </w:r>
            <w:r>
              <w:rPr>
                <w:rFonts w:ascii="Arial" w:hAnsi="Arial" w:cs="Arial"/>
                <w:sz w:val="20"/>
                <w:szCs w:val="20"/>
              </w:rPr>
              <w:t>.</w:t>
            </w:r>
            <w:r w:rsidRPr="00602463">
              <w:rPr>
                <w:rFonts w:ascii="Arial" w:hAnsi="Arial" w:cs="Arial"/>
                <w:sz w:val="20"/>
                <w:szCs w:val="20"/>
              </w:rPr>
              <w:t>006</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91</w:t>
            </w:r>
            <w:r>
              <w:rPr>
                <w:rFonts w:ascii="Arial" w:hAnsi="Arial" w:cs="Arial"/>
                <w:sz w:val="20"/>
                <w:szCs w:val="20"/>
              </w:rPr>
              <w:t>.</w:t>
            </w:r>
            <w:r w:rsidRPr="00602463">
              <w:rPr>
                <w:rFonts w:ascii="Arial" w:hAnsi="Arial" w:cs="Arial"/>
                <w:sz w:val="20"/>
                <w:szCs w:val="20"/>
              </w:rPr>
              <w:t>89</w:t>
            </w:r>
          </w:p>
        </w:tc>
      </w:tr>
      <w:tr w:rsidR="00474FB3" w:rsidTr="00474FB3">
        <w:tc>
          <w:tcPr>
            <w:tcW w:w="558" w:type="dxa"/>
          </w:tcPr>
          <w:p w:rsidR="00474FB3" w:rsidRPr="00474FB3" w:rsidRDefault="00474FB3" w:rsidP="00474FB3">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Dividend rate</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20</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30</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150</w:t>
            </w:r>
          </w:p>
        </w:tc>
      </w:tr>
      <w:tr w:rsidR="00474FB3" w:rsidTr="00474FB3">
        <w:tc>
          <w:tcPr>
            <w:tcW w:w="558" w:type="dxa"/>
          </w:tcPr>
          <w:p w:rsidR="00474FB3" w:rsidRPr="00474FB3" w:rsidRDefault="00474FB3" w:rsidP="00474FB3">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474FB3">
            <w:pPr>
              <w:spacing w:line="360" w:lineRule="auto"/>
              <w:jc w:val="both"/>
              <w:rPr>
                <w:rFonts w:ascii="Arial" w:hAnsi="Arial" w:cs="Arial"/>
                <w:sz w:val="20"/>
                <w:szCs w:val="20"/>
              </w:rPr>
            </w:pPr>
            <w:r>
              <w:rPr>
                <w:rFonts w:ascii="Arial" w:hAnsi="Arial" w:cs="Arial"/>
                <w:sz w:val="20"/>
                <w:szCs w:val="20"/>
              </w:rPr>
              <w:t>Investment in facilities</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VND Million</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9</w:t>
            </w:r>
            <w:r>
              <w:rPr>
                <w:rFonts w:ascii="Arial" w:hAnsi="Arial" w:cs="Arial"/>
                <w:sz w:val="20"/>
                <w:szCs w:val="20"/>
              </w:rPr>
              <w:t>.76</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7</w:t>
            </w:r>
            <w:r>
              <w:rPr>
                <w:rFonts w:ascii="Arial" w:hAnsi="Arial" w:cs="Arial"/>
                <w:sz w:val="20"/>
                <w:szCs w:val="20"/>
              </w:rPr>
              <w:t>.</w:t>
            </w:r>
            <w:r w:rsidRPr="00602463">
              <w:rPr>
                <w:rFonts w:ascii="Arial" w:hAnsi="Arial" w:cs="Arial"/>
                <w:sz w:val="20"/>
                <w:szCs w:val="20"/>
              </w:rPr>
              <w:t>865</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80</w:t>
            </w:r>
            <w:r>
              <w:rPr>
                <w:rFonts w:ascii="Arial" w:hAnsi="Arial" w:cs="Arial"/>
                <w:sz w:val="20"/>
                <w:szCs w:val="20"/>
              </w:rPr>
              <w:t>.</w:t>
            </w:r>
            <w:r w:rsidRPr="00602463">
              <w:rPr>
                <w:rFonts w:ascii="Arial" w:hAnsi="Arial" w:cs="Arial"/>
                <w:sz w:val="20"/>
                <w:szCs w:val="20"/>
              </w:rPr>
              <w:t>58</w:t>
            </w:r>
          </w:p>
        </w:tc>
      </w:tr>
      <w:tr w:rsidR="00474FB3" w:rsidTr="00474FB3">
        <w:tc>
          <w:tcPr>
            <w:tcW w:w="558" w:type="dxa"/>
          </w:tcPr>
          <w:p w:rsidR="00474FB3" w:rsidRPr="00474FB3" w:rsidRDefault="00474FB3" w:rsidP="00474FB3">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Customer</w:t>
            </w:r>
            <w:r w:rsidRPr="00602463">
              <w:rPr>
                <w:rFonts w:ascii="Arial" w:hAnsi="Arial" w:cs="Arial"/>
                <w:sz w:val="20"/>
                <w:szCs w:val="20"/>
              </w:rPr>
              <w:t xml:space="preserve"> development</w:t>
            </w:r>
          </w:p>
        </w:tc>
        <w:tc>
          <w:tcPr>
            <w:tcW w:w="1596"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Household</w:t>
            </w:r>
          </w:p>
        </w:tc>
        <w:tc>
          <w:tcPr>
            <w:tcW w:w="1596" w:type="dxa"/>
          </w:tcPr>
          <w:p w:rsidR="00474FB3" w:rsidRDefault="00474FB3" w:rsidP="005610CB">
            <w:pPr>
              <w:spacing w:line="360" w:lineRule="auto"/>
              <w:jc w:val="both"/>
              <w:rPr>
                <w:rFonts w:ascii="Arial" w:hAnsi="Arial" w:cs="Arial"/>
                <w:sz w:val="20"/>
                <w:szCs w:val="20"/>
              </w:rPr>
            </w:pPr>
            <w:r w:rsidRPr="00602463">
              <w:rPr>
                <w:rFonts w:ascii="Arial" w:hAnsi="Arial" w:cs="Arial"/>
                <w:sz w:val="20"/>
                <w:szCs w:val="20"/>
              </w:rPr>
              <w:t>4</w:t>
            </w:r>
            <w:r>
              <w:rPr>
                <w:rFonts w:ascii="Arial" w:hAnsi="Arial" w:cs="Arial"/>
                <w:sz w:val="20"/>
                <w:szCs w:val="20"/>
              </w:rPr>
              <w:t>,</w:t>
            </w:r>
            <w:r w:rsidRPr="00602463">
              <w:rPr>
                <w:rFonts w:ascii="Arial" w:hAnsi="Arial" w:cs="Arial"/>
                <w:sz w:val="20"/>
                <w:szCs w:val="20"/>
              </w:rPr>
              <w:t>500</w:t>
            </w:r>
          </w:p>
        </w:tc>
        <w:tc>
          <w:tcPr>
            <w:tcW w:w="1596"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4,</w:t>
            </w:r>
            <w:r w:rsidRPr="00602463">
              <w:rPr>
                <w:rFonts w:ascii="Arial" w:hAnsi="Arial" w:cs="Arial"/>
                <w:sz w:val="20"/>
                <w:szCs w:val="20"/>
              </w:rPr>
              <w:t>475</w:t>
            </w:r>
          </w:p>
        </w:tc>
        <w:tc>
          <w:tcPr>
            <w:tcW w:w="1596" w:type="dxa"/>
          </w:tcPr>
          <w:p w:rsidR="00474FB3" w:rsidRDefault="00474FB3" w:rsidP="005610CB">
            <w:pPr>
              <w:spacing w:line="360" w:lineRule="auto"/>
              <w:jc w:val="both"/>
              <w:rPr>
                <w:rFonts w:ascii="Arial" w:hAnsi="Arial" w:cs="Arial"/>
                <w:sz w:val="20"/>
                <w:szCs w:val="20"/>
              </w:rPr>
            </w:pPr>
            <w:r>
              <w:rPr>
                <w:rFonts w:ascii="Arial" w:hAnsi="Arial" w:cs="Arial"/>
                <w:sz w:val="20"/>
                <w:szCs w:val="20"/>
              </w:rPr>
              <w:t>99.</w:t>
            </w:r>
            <w:r w:rsidRPr="00602463">
              <w:rPr>
                <w:rFonts w:ascii="Arial" w:hAnsi="Arial" w:cs="Arial"/>
                <w:sz w:val="20"/>
                <w:szCs w:val="20"/>
              </w:rPr>
              <w:t>44</w:t>
            </w:r>
          </w:p>
        </w:tc>
      </w:tr>
    </w:tbl>
    <w:p w:rsidR="00474FB3" w:rsidRDefault="00474FB3" w:rsidP="005610CB">
      <w:pPr>
        <w:spacing w:line="360" w:lineRule="auto"/>
        <w:jc w:val="both"/>
        <w:rPr>
          <w:rFonts w:ascii="Arial" w:hAnsi="Arial" w:cs="Arial"/>
          <w:sz w:val="20"/>
          <w:szCs w:val="20"/>
        </w:rPr>
      </w:pPr>
    </w:p>
    <w:p w:rsidR="00474FB3" w:rsidRDefault="00602463" w:rsidP="005610CB">
      <w:pPr>
        <w:spacing w:line="360" w:lineRule="auto"/>
        <w:jc w:val="both"/>
        <w:rPr>
          <w:rFonts w:ascii="Arial" w:hAnsi="Arial" w:cs="Arial"/>
          <w:sz w:val="20"/>
          <w:szCs w:val="20"/>
        </w:rPr>
      </w:pPr>
      <w:r w:rsidRPr="00602463">
        <w:rPr>
          <w:rFonts w:ascii="Arial" w:hAnsi="Arial" w:cs="Arial"/>
          <w:sz w:val="20"/>
          <w:szCs w:val="20"/>
        </w:rPr>
        <w:t xml:space="preserve">2.  Business and production plan in 2020 </w:t>
      </w:r>
    </w:p>
    <w:tbl>
      <w:tblPr>
        <w:tblStyle w:val="TableGrid"/>
        <w:tblW w:w="9576" w:type="dxa"/>
        <w:tblLook w:val="04A0" w:firstRow="1" w:lastRow="0" w:firstColumn="1" w:lastColumn="0" w:noHBand="0" w:noVBand="1"/>
      </w:tblPr>
      <w:tblGrid>
        <w:gridCol w:w="558"/>
        <w:gridCol w:w="2634"/>
        <w:gridCol w:w="1596"/>
        <w:gridCol w:w="1596"/>
        <w:gridCol w:w="1596"/>
        <w:gridCol w:w="1596"/>
      </w:tblGrid>
      <w:tr w:rsidR="00474FB3" w:rsidTr="00474FB3">
        <w:tc>
          <w:tcPr>
            <w:tcW w:w="558"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No.</w:t>
            </w:r>
          </w:p>
        </w:tc>
        <w:tc>
          <w:tcPr>
            <w:tcW w:w="2634"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Indicators</w:t>
            </w:r>
          </w:p>
        </w:tc>
        <w:tc>
          <w:tcPr>
            <w:tcW w:w="1596"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Unit</w:t>
            </w:r>
          </w:p>
        </w:tc>
        <w:tc>
          <w:tcPr>
            <w:tcW w:w="1596"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Realization 2019</w:t>
            </w:r>
          </w:p>
        </w:tc>
        <w:tc>
          <w:tcPr>
            <w:tcW w:w="1596"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Plan 2020</w:t>
            </w:r>
          </w:p>
        </w:tc>
        <w:tc>
          <w:tcPr>
            <w:tcW w:w="1596" w:type="dxa"/>
          </w:tcPr>
          <w:p w:rsidR="00474FB3" w:rsidRDefault="00474FB3" w:rsidP="00474FB3">
            <w:pPr>
              <w:spacing w:line="360" w:lineRule="auto"/>
              <w:jc w:val="both"/>
              <w:rPr>
                <w:rFonts w:ascii="Arial" w:hAnsi="Arial" w:cs="Arial"/>
                <w:sz w:val="20"/>
                <w:szCs w:val="20"/>
              </w:rPr>
            </w:pPr>
            <w:r>
              <w:rPr>
                <w:rFonts w:ascii="Arial" w:hAnsi="Arial" w:cs="Arial"/>
                <w:sz w:val="20"/>
                <w:szCs w:val="20"/>
              </w:rPr>
              <w:t>Plan</w:t>
            </w:r>
            <w:r>
              <w:rPr>
                <w:rFonts w:ascii="Arial" w:hAnsi="Arial" w:cs="Arial"/>
                <w:sz w:val="20"/>
                <w:szCs w:val="20"/>
              </w:rPr>
              <w:t xml:space="preserve">/ </w:t>
            </w:r>
            <w:r>
              <w:rPr>
                <w:rFonts w:ascii="Arial" w:hAnsi="Arial" w:cs="Arial"/>
                <w:sz w:val="20"/>
                <w:szCs w:val="20"/>
              </w:rPr>
              <w:t>Realization</w:t>
            </w:r>
            <w:r>
              <w:rPr>
                <w:rFonts w:ascii="Arial" w:hAnsi="Arial" w:cs="Arial"/>
                <w:sz w:val="20"/>
                <w:szCs w:val="20"/>
              </w:rPr>
              <w:t xml:space="preserve"> %</w:t>
            </w:r>
          </w:p>
        </w:tc>
      </w:tr>
      <w:tr w:rsidR="00474FB3" w:rsidTr="00474FB3">
        <w:tc>
          <w:tcPr>
            <w:tcW w:w="558" w:type="dxa"/>
          </w:tcPr>
          <w:p w:rsidR="00474FB3" w:rsidRPr="00474FB3" w:rsidRDefault="00474FB3" w:rsidP="00DD0DC1">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Electricity output</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Million kWh</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263</w:t>
            </w:r>
            <w:r>
              <w:rPr>
                <w:rFonts w:ascii="Arial" w:hAnsi="Arial" w:cs="Arial"/>
                <w:sz w:val="20"/>
                <w:szCs w:val="20"/>
              </w:rPr>
              <w:t>.</w:t>
            </w:r>
            <w:r w:rsidRPr="00602463">
              <w:rPr>
                <w:rFonts w:ascii="Arial" w:hAnsi="Arial" w:cs="Arial"/>
                <w:sz w:val="20"/>
                <w:szCs w:val="20"/>
              </w:rPr>
              <w:t xml:space="preserve">778 </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276</w:t>
            </w:r>
            <w:r>
              <w:rPr>
                <w:rFonts w:ascii="Arial" w:hAnsi="Arial" w:cs="Arial"/>
                <w:sz w:val="20"/>
                <w:szCs w:val="20"/>
              </w:rPr>
              <w:t>.</w:t>
            </w:r>
            <w:r w:rsidRPr="00602463">
              <w:rPr>
                <w:rFonts w:ascii="Arial" w:hAnsi="Arial" w:cs="Arial"/>
                <w:sz w:val="20"/>
                <w:szCs w:val="20"/>
              </w:rPr>
              <w:t>566</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+ 4</w:t>
            </w:r>
            <w:r>
              <w:rPr>
                <w:rFonts w:ascii="Arial" w:hAnsi="Arial" w:cs="Arial"/>
                <w:sz w:val="20"/>
                <w:szCs w:val="20"/>
              </w:rPr>
              <w:t>.85</w:t>
            </w:r>
          </w:p>
        </w:tc>
      </w:tr>
      <w:tr w:rsidR="00474FB3" w:rsidTr="00474FB3">
        <w:tc>
          <w:tcPr>
            <w:tcW w:w="558" w:type="dxa"/>
          </w:tcPr>
          <w:p w:rsidR="00474FB3" w:rsidRPr="00474FB3" w:rsidRDefault="00474FB3" w:rsidP="00DD0DC1">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Total revenue</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 xml:space="preserve">VND Million </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492</w:t>
            </w:r>
            <w:r>
              <w:rPr>
                <w:rFonts w:ascii="Arial" w:hAnsi="Arial" w:cs="Arial"/>
                <w:sz w:val="20"/>
                <w:szCs w:val="20"/>
              </w:rPr>
              <w:t>.</w:t>
            </w:r>
            <w:r w:rsidRPr="00602463">
              <w:rPr>
                <w:rFonts w:ascii="Arial" w:hAnsi="Arial" w:cs="Arial"/>
                <w:sz w:val="20"/>
                <w:szCs w:val="20"/>
              </w:rPr>
              <w:t>802</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524</w:t>
            </w:r>
            <w:r>
              <w:rPr>
                <w:rFonts w:ascii="Arial" w:hAnsi="Arial" w:cs="Arial"/>
                <w:sz w:val="20"/>
                <w:szCs w:val="20"/>
              </w:rPr>
              <w:t>.</w:t>
            </w:r>
            <w:r w:rsidRPr="00602463">
              <w:rPr>
                <w:rFonts w:ascii="Arial" w:hAnsi="Arial" w:cs="Arial"/>
                <w:sz w:val="20"/>
                <w:szCs w:val="20"/>
              </w:rPr>
              <w:t>224</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+ 6</w:t>
            </w:r>
            <w:r>
              <w:rPr>
                <w:rFonts w:ascii="Arial" w:hAnsi="Arial" w:cs="Arial"/>
                <w:sz w:val="20"/>
                <w:szCs w:val="20"/>
              </w:rPr>
              <w:t>.</w:t>
            </w:r>
            <w:r w:rsidRPr="00602463">
              <w:rPr>
                <w:rFonts w:ascii="Arial" w:hAnsi="Arial" w:cs="Arial"/>
                <w:sz w:val="20"/>
                <w:szCs w:val="20"/>
              </w:rPr>
              <w:t>38</w:t>
            </w:r>
          </w:p>
        </w:tc>
      </w:tr>
      <w:tr w:rsidR="00474FB3" w:rsidTr="00474FB3">
        <w:tc>
          <w:tcPr>
            <w:tcW w:w="558" w:type="dxa"/>
          </w:tcPr>
          <w:p w:rsidR="00474FB3" w:rsidRPr="00474FB3" w:rsidRDefault="00474FB3" w:rsidP="00DD0DC1">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Profit before tax</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VND Million</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26</w:t>
            </w:r>
            <w:r>
              <w:rPr>
                <w:rFonts w:ascii="Arial" w:hAnsi="Arial" w:cs="Arial"/>
                <w:sz w:val="20"/>
                <w:szCs w:val="20"/>
              </w:rPr>
              <w:t>.</w:t>
            </w:r>
            <w:r w:rsidRPr="00602463">
              <w:rPr>
                <w:rFonts w:ascii="Arial" w:hAnsi="Arial" w:cs="Arial"/>
                <w:sz w:val="20"/>
                <w:szCs w:val="20"/>
              </w:rPr>
              <w:t>006</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32</w:t>
            </w:r>
            <w:r>
              <w:rPr>
                <w:rFonts w:ascii="Arial" w:hAnsi="Arial" w:cs="Arial"/>
                <w:sz w:val="20"/>
                <w:szCs w:val="20"/>
              </w:rPr>
              <w:t>.</w:t>
            </w:r>
            <w:r w:rsidRPr="00602463">
              <w:rPr>
                <w:rFonts w:ascii="Arial" w:hAnsi="Arial" w:cs="Arial"/>
                <w:sz w:val="20"/>
                <w:szCs w:val="20"/>
              </w:rPr>
              <w:t>896</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+ 26</w:t>
            </w:r>
            <w:r>
              <w:rPr>
                <w:rFonts w:ascii="Arial" w:hAnsi="Arial" w:cs="Arial"/>
                <w:sz w:val="20"/>
                <w:szCs w:val="20"/>
              </w:rPr>
              <w:t>.</w:t>
            </w:r>
            <w:r w:rsidRPr="00602463">
              <w:rPr>
                <w:rFonts w:ascii="Arial" w:hAnsi="Arial" w:cs="Arial"/>
                <w:sz w:val="20"/>
                <w:szCs w:val="20"/>
              </w:rPr>
              <w:t>49</w:t>
            </w:r>
          </w:p>
        </w:tc>
      </w:tr>
      <w:tr w:rsidR="00474FB3" w:rsidTr="00474FB3">
        <w:tc>
          <w:tcPr>
            <w:tcW w:w="558" w:type="dxa"/>
          </w:tcPr>
          <w:p w:rsidR="00474FB3" w:rsidRPr="00474FB3" w:rsidRDefault="00474FB3" w:rsidP="00DD0DC1">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Dividend rate</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30</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20</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- 33</w:t>
            </w:r>
            <w:r>
              <w:rPr>
                <w:rFonts w:ascii="Arial" w:hAnsi="Arial" w:cs="Arial"/>
                <w:sz w:val="20"/>
                <w:szCs w:val="20"/>
              </w:rPr>
              <w:t>.</w:t>
            </w:r>
            <w:r w:rsidRPr="00602463">
              <w:rPr>
                <w:rFonts w:ascii="Arial" w:hAnsi="Arial" w:cs="Arial"/>
                <w:sz w:val="20"/>
                <w:szCs w:val="20"/>
              </w:rPr>
              <w:t>33</w:t>
            </w:r>
          </w:p>
        </w:tc>
      </w:tr>
      <w:tr w:rsidR="00474FB3" w:rsidTr="00474FB3">
        <w:tc>
          <w:tcPr>
            <w:tcW w:w="558" w:type="dxa"/>
          </w:tcPr>
          <w:p w:rsidR="00474FB3" w:rsidRPr="00474FB3" w:rsidRDefault="00474FB3" w:rsidP="00DD0DC1">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Investment in facilities</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VND Million</w:t>
            </w:r>
          </w:p>
        </w:tc>
        <w:tc>
          <w:tcPr>
            <w:tcW w:w="1596" w:type="dxa"/>
          </w:tcPr>
          <w:p w:rsidR="00474FB3" w:rsidRDefault="00474FB3" w:rsidP="00DD0DC1">
            <w:pPr>
              <w:spacing w:line="360" w:lineRule="auto"/>
              <w:jc w:val="both"/>
              <w:rPr>
                <w:rFonts w:ascii="Arial" w:hAnsi="Arial" w:cs="Arial"/>
                <w:sz w:val="20"/>
                <w:szCs w:val="20"/>
              </w:rPr>
            </w:pPr>
            <w:r w:rsidRPr="00602463">
              <w:rPr>
                <w:rFonts w:ascii="Arial" w:hAnsi="Arial" w:cs="Arial"/>
                <w:sz w:val="20"/>
                <w:szCs w:val="20"/>
              </w:rPr>
              <w:t>7</w:t>
            </w:r>
            <w:r>
              <w:rPr>
                <w:rFonts w:ascii="Arial" w:hAnsi="Arial" w:cs="Arial"/>
                <w:sz w:val="20"/>
                <w:szCs w:val="20"/>
              </w:rPr>
              <w:t>.</w:t>
            </w:r>
            <w:r w:rsidRPr="00602463">
              <w:rPr>
                <w:rFonts w:ascii="Arial" w:hAnsi="Arial" w:cs="Arial"/>
                <w:sz w:val="20"/>
                <w:szCs w:val="20"/>
              </w:rPr>
              <w:t>865</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12</w:t>
            </w:r>
            <w:r>
              <w:rPr>
                <w:rFonts w:ascii="Arial" w:hAnsi="Arial" w:cs="Arial"/>
                <w:sz w:val="20"/>
                <w:szCs w:val="20"/>
              </w:rPr>
              <w:t>.</w:t>
            </w:r>
            <w:r w:rsidRPr="00602463">
              <w:rPr>
                <w:rFonts w:ascii="Arial" w:hAnsi="Arial" w:cs="Arial"/>
                <w:sz w:val="20"/>
                <w:szCs w:val="20"/>
              </w:rPr>
              <w:t>675</w:t>
            </w:r>
          </w:p>
        </w:tc>
        <w:tc>
          <w:tcPr>
            <w:tcW w:w="1596" w:type="dxa"/>
          </w:tcPr>
          <w:p w:rsidR="00474FB3" w:rsidRDefault="0032194F" w:rsidP="00DD0DC1">
            <w:pPr>
              <w:spacing w:line="360" w:lineRule="auto"/>
              <w:jc w:val="both"/>
              <w:rPr>
                <w:rFonts w:ascii="Arial" w:hAnsi="Arial" w:cs="Arial"/>
                <w:sz w:val="20"/>
                <w:szCs w:val="20"/>
              </w:rPr>
            </w:pPr>
            <w:r w:rsidRPr="00602463">
              <w:rPr>
                <w:rFonts w:ascii="Arial" w:hAnsi="Arial" w:cs="Arial"/>
                <w:sz w:val="20"/>
                <w:szCs w:val="20"/>
              </w:rPr>
              <w:t>+ 61</w:t>
            </w:r>
            <w:r>
              <w:rPr>
                <w:rFonts w:ascii="Arial" w:hAnsi="Arial" w:cs="Arial"/>
                <w:sz w:val="20"/>
                <w:szCs w:val="20"/>
              </w:rPr>
              <w:t>.</w:t>
            </w:r>
            <w:r w:rsidRPr="00602463">
              <w:rPr>
                <w:rFonts w:ascii="Arial" w:hAnsi="Arial" w:cs="Arial"/>
                <w:sz w:val="20"/>
                <w:szCs w:val="20"/>
              </w:rPr>
              <w:t>15</w:t>
            </w:r>
          </w:p>
        </w:tc>
      </w:tr>
      <w:tr w:rsidR="00474FB3" w:rsidTr="00474FB3">
        <w:tc>
          <w:tcPr>
            <w:tcW w:w="558" w:type="dxa"/>
          </w:tcPr>
          <w:p w:rsidR="00474FB3" w:rsidRPr="00474FB3" w:rsidRDefault="00474FB3" w:rsidP="00DD0DC1">
            <w:pPr>
              <w:pStyle w:val="ListParagraph"/>
              <w:numPr>
                <w:ilvl w:val="0"/>
                <w:numId w:val="3"/>
              </w:numPr>
              <w:spacing w:line="360" w:lineRule="auto"/>
              <w:ind w:left="0" w:firstLine="0"/>
              <w:rPr>
                <w:rFonts w:ascii="Arial" w:hAnsi="Arial" w:cs="Arial"/>
                <w:sz w:val="20"/>
                <w:szCs w:val="20"/>
              </w:rPr>
            </w:pPr>
          </w:p>
        </w:tc>
        <w:tc>
          <w:tcPr>
            <w:tcW w:w="2634"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Customer</w:t>
            </w:r>
            <w:r w:rsidRPr="00602463">
              <w:rPr>
                <w:rFonts w:ascii="Arial" w:hAnsi="Arial" w:cs="Arial"/>
                <w:sz w:val="20"/>
                <w:szCs w:val="20"/>
              </w:rPr>
              <w:t xml:space="preserve"> development</w:t>
            </w:r>
          </w:p>
        </w:tc>
        <w:tc>
          <w:tcPr>
            <w:tcW w:w="1596"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Household</w:t>
            </w:r>
          </w:p>
        </w:tc>
        <w:tc>
          <w:tcPr>
            <w:tcW w:w="1596" w:type="dxa"/>
          </w:tcPr>
          <w:p w:rsidR="00474FB3" w:rsidRDefault="00474FB3" w:rsidP="00DD0DC1">
            <w:pPr>
              <w:spacing w:line="360" w:lineRule="auto"/>
              <w:jc w:val="both"/>
              <w:rPr>
                <w:rFonts w:ascii="Arial" w:hAnsi="Arial" w:cs="Arial"/>
                <w:sz w:val="20"/>
                <w:szCs w:val="20"/>
              </w:rPr>
            </w:pPr>
            <w:r>
              <w:rPr>
                <w:rFonts w:ascii="Arial" w:hAnsi="Arial" w:cs="Arial"/>
                <w:sz w:val="20"/>
                <w:szCs w:val="20"/>
              </w:rPr>
              <w:t>4,</w:t>
            </w:r>
            <w:r w:rsidRPr="00602463">
              <w:rPr>
                <w:rFonts w:ascii="Arial" w:hAnsi="Arial" w:cs="Arial"/>
                <w:sz w:val="20"/>
                <w:szCs w:val="20"/>
              </w:rPr>
              <w:t>475</w:t>
            </w:r>
          </w:p>
        </w:tc>
        <w:tc>
          <w:tcPr>
            <w:tcW w:w="1596" w:type="dxa"/>
          </w:tcPr>
          <w:p w:rsidR="00474FB3" w:rsidRDefault="0032194F" w:rsidP="00DD0DC1">
            <w:pPr>
              <w:spacing w:line="360" w:lineRule="auto"/>
              <w:jc w:val="both"/>
              <w:rPr>
                <w:rFonts w:ascii="Arial" w:hAnsi="Arial" w:cs="Arial"/>
                <w:sz w:val="20"/>
                <w:szCs w:val="20"/>
              </w:rPr>
            </w:pPr>
            <w:r>
              <w:rPr>
                <w:rFonts w:ascii="Arial" w:hAnsi="Arial" w:cs="Arial"/>
                <w:sz w:val="20"/>
                <w:szCs w:val="20"/>
              </w:rPr>
              <w:t>4,</w:t>
            </w:r>
            <w:r w:rsidRPr="00602463">
              <w:rPr>
                <w:rFonts w:ascii="Arial" w:hAnsi="Arial" w:cs="Arial"/>
                <w:sz w:val="20"/>
                <w:szCs w:val="20"/>
              </w:rPr>
              <w:t>500</w:t>
            </w:r>
          </w:p>
        </w:tc>
        <w:tc>
          <w:tcPr>
            <w:tcW w:w="1596" w:type="dxa"/>
          </w:tcPr>
          <w:p w:rsidR="00474FB3" w:rsidRDefault="0032194F" w:rsidP="0032194F">
            <w:pPr>
              <w:spacing w:line="360" w:lineRule="auto"/>
              <w:jc w:val="both"/>
              <w:rPr>
                <w:rFonts w:ascii="Arial" w:hAnsi="Arial" w:cs="Arial"/>
                <w:sz w:val="20"/>
                <w:szCs w:val="20"/>
              </w:rPr>
            </w:pPr>
            <w:r>
              <w:rPr>
                <w:rFonts w:ascii="Arial" w:hAnsi="Arial" w:cs="Arial"/>
                <w:sz w:val="20"/>
                <w:szCs w:val="20"/>
              </w:rPr>
              <w:t>+ 0.</w:t>
            </w:r>
            <w:r w:rsidRPr="00602463">
              <w:rPr>
                <w:rFonts w:ascii="Arial" w:hAnsi="Arial" w:cs="Arial"/>
                <w:sz w:val="20"/>
                <w:szCs w:val="20"/>
              </w:rPr>
              <w:t>56</w:t>
            </w:r>
          </w:p>
        </w:tc>
      </w:tr>
    </w:tbl>
    <w:p w:rsidR="00474FB3" w:rsidRDefault="00474FB3" w:rsidP="005610CB">
      <w:pPr>
        <w:spacing w:line="360" w:lineRule="auto"/>
        <w:jc w:val="both"/>
        <w:rPr>
          <w:rFonts w:ascii="Arial" w:hAnsi="Arial" w:cs="Arial"/>
          <w:sz w:val="20"/>
          <w:szCs w:val="20"/>
        </w:rPr>
      </w:pPr>
    </w:p>
    <w:p w:rsidR="0032194F" w:rsidRDefault="0032194F" w:rsidP="005610CB">
      <w:pPr>
        <w:spacing w:line="360" w:lineRule="auto"/>
        <w:jc w:val="both"/>
        <w:rPr>
          <w:rFonts w:ascii="Arial" w:hAnsi="Arial" w:cs="Arial"/>
          <w:sz w:val="20"/>
          <w:szCs w:val="20"/>
        </w:rPr>
      </w:pPr>
      <w:r>
        <w:rPr>
          <w:rFonts w:ascii="Arial" w:hAnsi="Arial" w:cs="Arial"/>
          <w:sz w:val="20"/>
          <w:szCs w:val="20"/>
        </w:rPr>
        <w:t>Article 5: Approve</w:t>
      </w:r>
      <w:r w:rsidR="00602463" w:rsidRPr="00602463">
        <w:rPr>
          <w:rFonts w:ascii="Arial" w:hAnsi="Arial" w:cs="Arial"/>
          <w:sz w:val="20"/>
          <w:szCs w:val="20"/>
        </w:rPr>
        <w:t xml:space="preserve"> the audited financial statements</w:t>
      </w:r>
      <w:r>
        <w:rPr>
          <w:rFonts w:ascii="Arial" w:hAnsi="Arial" w:cs="Arial"/>
          <w:sz w:val="20"/>
          <w:szCs w:val="20"/>
        </w:rPr>
        <w:t xml:space="preserve"> of 2019</w:t>
      </w:r>
    </w:p>
    <w:p w:rsidR="0032194F" w:rsidRDefault="0032194F" w:rsidP="005610CB">
      <w:pPr>
        <w:spacing w:line="360" w:lineRule="auto"/>
        <w:jc w:val="both"/>
        <w:rPr>
          <w:rFonts w:ascii="Arial" w:hAnsi="Arial" w:cs="Arial"/>
          <w:sz w:val="20"/>
          <w:szCs w:val="20"/>
        </w:rPr>
      </w:pPr>
      <w:r>
        <w:rPr>
          <w:rFonts w:ascii="Arial" w:hAnsi="Arial" w:cs="Arial"/>
          <w:sz w:val="20"/>
          <w:szCs w:val="20"/>
        </w:rPr>
        <w:t>Article 6:</w:t>
      </w:r>
      <w:r w:rsidR="00602463" w:rsidRPr="00602463">
        <w:rPr>
          <w:rFonts w:ascii="Arial" w:hAnsi="Arial" w:cs="Arial"/>
          <w:sz w:val="20"/>
          <w:szCs w:val="20"/>
        </w:rPr>
        <w:t xml:space="preserve">  Approve the report of </w:t>
      </w:r>
      <w:r>
        <w:rPr>
          <w:rFonts w:ascii="Arial" w:hAnsi="Arial" w:cs="Arial"/>
          <w:sz w:val="20"/>
          <w:szCs w:val="20"/>
        </w:rPr>
        <w:t>the Supervisory Board in 2019</w:t>
      </w:r>
    </w:p>
    <w:p w:rsidR="0032194F" w:rsidRDefault="0032194F" w:rsidP="005610CB">
      <w:pPr>
        <w:spacing w:line="360" w:lineRule="auto"/>
        <w:jc w:val="both"/>
        <w:rPr>
          <w:rFonts w:ascii="Arial" w:hAnsi="Arial" w:cs="Arial"/>
          <w:sz w:val="20"/>
          <w:szCs w:val="20"/>
        </w:rPr>
      </w:pPr>
      <w:r>
        <w:rPr>
          <w:rFonts w:ascii="Arial" w:hAnsi="Arial" w:cs="Arial"/>
          <w:sz w:val="20"/>
          <w:szCs w:val="20"/>
        </w:rPr>
        <w:t>Article 7:</w:t>
      </w:r>
      <w:r w:rsidR="00602463" w:rsidRPr="00602463">
        <w:rPr>
          <w:rFonts w:ascii="Arial" w:hAnsi="Arial" w:cs="Arial"/>
          <w:sz w:val="20"/>
          <w:szCs w:val="20"/>
        </w:rPr>
        <w:t xml:space="preserve"> Approved the Statement of profit distribution in 2019 as follows: </w:t>
      </w:r>
    </w:p>
    <w:p w:rsidR="0032194F" w:rsidRDefault="00602463" w:rsidP="005610CB">
      <w:pPr>
        <w:spacing w:line="360" w:lineRule="auto"/>
        <w:jc w:val="both"/>
        <w:rPr>
          <w:rFonts w:ascii="Arial" w:hAnsi="Arial" w:cs="Arial"/>
          <w:sz w:val="20"/>
          <w:szCs w:val="20"/>
        </w:rPr>
      </w:pPr>
      <w:r w:rsidRPr="00602463">
        <w:rPr>
          <w:rFonts w:ascii="Arial" w:hAnsi="Arial" w:cs="Arial"/>
          <w:sz w:val="20"/>
          <w:szCs w:val="20"/>
        </w:rPr>
        <w:t>Profit after tax</w:t>
      </w:r>
      <w:r w:rsidR="0032194F">
        <w:rPr>
          <w:rFonts w:ascii="Arial" w:hAnsi="Arial" w:cs="Arial"/>
          <w:sz w:val="20"/>
          <w:szCs w:val="20"/>
        </w:rPr>
        <w:t>: VND</w:t>
      </w:r>
      <w:r w:rsidRPr="00602463">
        <w:rPr>
          <w:rFonts w:ascii="Arial" w:hAnsi="Arial" w:cs="Arial"/>
          <w:sz w:val="20"/>
          <w:szCs w:val="20"/>
        </w:rPr>
        <w:t xml:space="preserve"> 20</w:t>
      </w:r>
      <w:r w:rsidR="0032194F">
        <w:rPr>
          <w:rFonts w:ascii="Arial" w:hAnsi="Arial" w:cs="Arial"/>
          <w:sz w:val="20"/>
          <w:szCs w:val="20"/>
        </w:rPr>
        <w:t>,</w:t>
      </w:r>
      <w:r w:rsidRPr="00602463">
        <w:rPr>
          <w:rFonts w:ascii="Arial" w:hAnsi="Arial" w:cs="Arial"/>
          <w:sz w:val="20"/>
          <w:szCs w:val="20"/>
        </w:rPr>
        <w:t>447</w:t>
      </w:r>
      <w:r w:rsidR="0032194F">
        <w:rPr>
          <w:rFonts w:ascii="Arial" w:hAnsi="Arial" w:cs="Arial"/>
          <w:sz w:val="20"/>
          <w:szCs w:val="20"/>
        </w:rPr>
        <w:t>,</w:t>
      </w:r>
      <w:r w:rsidRPr="00602463">
        <w:rPr>
          <w:rFonts w:ascii="Arial" w:hAnsi="Arial" w:cs="Arial"/>
          <w:sz w:val="20"/>
          <w:szCs w:val="20"/>
        </w:rPr>
        <w:t>217</w:t>
      </w:r>
      <w:r w:rsidR="0032194F">
        <w:rPr>
          <w:rFonts w:ascii="Arial" w:hAnsi="Arial" w:cs="Arial"/>
          <w:sz w:val="20"/>
          <w:szCs w:val="20"/>
        </w:rPr>
        <w:t>,</w:t>
      </w:r>
      <w:r w:rsidRPr="00602463">
        <w:rPr>
          <w:rFonts w:ascii="Arial" w:hAnsi="Arial" w:cs="Arial"/>
          <w:sz w:val="20"/>
          <w:szCs w:val="20"/>
        </w:rPr>
        <w:t xml:space="preserve">087 </w:t>
      </w:r>
    </w:p>
    <w:p w:rsidR="0032194F" w:rsidRDefault="0032194F" w:rsidP="005610CB">
      <w:pPr>
        <w:spacing w:line="360" w:lineRule="auto"/>
        <w:jc w:val="both"/>
        <w:rPr>
          <w:rFonts w:ascii="Arial" w:hAnsi="Arial" w:cs="Arial"/>
          <w:sz w:val="20"/>
          <w:szCs w:val="20"/>
        </w:rPr>
      </w:pPr>
      <w:r>
        <w:rPr>
          <w:rFonts w:ascii="Arial" w:hAnsi="Arial" w:cs="Arial"/>
          <w:sz w:val="20"/>
          <w:szCs w:val="20"/>
        </w:rPr>
        <w:t xml:space="preserve">1. </w:t>
      </w:r>
      <w:r w:rsidR="00602463" w:rsidRPr="00602463">
        <w:rPr>
          <w:rFonts w:ascii="Arial" w:hAnsi="Arial" w:cs="Arial"/>
          <w:sz w:val="20"/>
          <w:szCs w:val="20"/>
        </w:rPr>
        <w:t>Dividend payment to shareholders: (</w:t>
      </w:r>
      <w:r>
        <w:rPr>
          <w:rFonts w:ascii="Arial" w:hAnsi="Arial" w:cs="Arial"/>
          <w:sz w:val="20"/>
          <w:szCs w:val="20"/>
        </w:rPr>
        <w:t>30%/</w:t>
      </w:r>
      <w:r w:rsidR="00602463" w:rsidRPr="00602463">
        <w:rPr>
          <w:rFonts w:ascii="Arial" w:hAnsi="Arial" w:cs="Arial"/>
          <w:sz w:val="20"/>
          <w:szCs w:val="20"/>
        </w:rPr>
        <w:t xml:space="preserve">year) </w:t>
      </w:r>
      <w:r>
        <w:rPr>
          <w:rFonts w:ascii="Arial" w:hAnsi="Arial" w:cs="Arial"/>
          <w:sz w:val="20"/>
          <w:szCs w:val="20"/>
        </w:rPr>
        <w:t xml:space="preserve">VND </w:t>
      </w:r>
      <w:r w:rsidR="00602463" w:rsidRPr="00602463">
        <w:rPr>
          <w:rFonts w:ascii="Arial" w:hAnsi="Arial" w:cs="Arial"/>
          <w:sz w:val="20"/>
          <w:szCs w:val="20"/>
        </w:rPr>
        <w:t>15</w:t>
      </w:r>
      <w:r>
        <w:rPr>
          <w:rFonts w:ascii="Arial" w:hAnsi="Arial" w:cs="Arial"/>
          <w:sz w:val="20"/>
          <w:szCs w:val="20"/>
        </w:rPr>
        <w:t>,</w:t>
      </w:r>
      <w:r w:rsidR="00602463" w:rsidRPr="00602463">
        <w:rPr>
          <w:rFonts w:ascii="Arial" w:hAnsi="Arial" w:cs="Arial"/>
          <w:sz w:val="20"/>
          <w:szCs w:val="20"/>
        </w:rPr>
        <w:t>792</w:t>
      </w:r>
      <w:r>
        <w:rPr>
          <w:rFonts w:ascii="Arial" w:hAnsi="Arial" w:cs="Arial"/>
          <w:sz w:val="20"/>
          <w:szCs w:val="20"/>
        </w:rPr>
        <w:t>,</w:t>
      </w:r>
      <w:r w:rsidR="00602463" w:rsidRPr="00602463">
        <w:rPr>
          <w:rFonts w:ascii="Arial" w:hAnsi="Arial" w:cs="Arial"/>
          <w:sz w:val="20"/>
          <w:szCs w:val="20"/>
        </w:rPr>
        <w:t>000</w:t>
      </w:r>
      <w:r>
        <w:rPr>
          <w:rFonts w:ascii="Arial" w:hAnsi="Arial" w:cs="Arial"/>
          <w:sz w:val="20"/>
          <w:szCs w:val="20"/>
        </w:rPr>
        <w:t>,</w:t>
      </w:r>
      <w:r w:rsidR="00602463" w:rsidRPr="00602463">
        <w:rPr>
          <w:rFonts w:ascii="Arial" w:hAnsi="Arial" w:cs="Arial"/>
          <w:sz w:val="20"/>
          <w:szCs w:val="20"/>
        </w:rPr>
        <w:t xml:space="preserve">000  </w:t>
      </w:r>
    </w:p>
    <w:p w:rsidR="0032194F" w:rsidRDefault="0032194F" w:rsidP="005610CB">
      <w:pPr>
        <w:spacing w:line="360" w:lineRule="auto"/>
        <w:jc w:val="both"/>
        <w:rPr>
          <w:rFonts w:ascii="Arial" w:hAnsi="Arial" w:cs="Arial"/>
          <w:sz w:val="20"/>
          <w:szCs w:val="20"/>
        </w:rPr>
      </w:pPr>
      <w:r>
        <w:rPr>
          <w:rFonts w:ascii="Arial" w:hAnsi="Arial" w:cs="Arial"/>
          <w:sz w:val="20"/>
          <w:szCs w:val="20"/>
        </w:rPr>
        <w:t xml:space="preserve">2. </w:t>
      </w:r>
      <w:r w:rsidR="00602463" w:rsidRPr="00602463">
        <w:rPr>
          <w:rFonts w:ascii="Arial" w:hAnsi="Arial" w:cs="Arial"/>
          <w:sz w:val="20"/>
          <w:szCs w:val="20"/>
        </w:rPr>
        <w:t>Deduction for welfare fund</w:t>
      </w:r>
      <w:r>
        <w:rPr>
          <w:rFonts w:ascii="Arial" w:hAnsi="Arial" w:cs="Arial"/>
          <w:sz w:val="20"/>
          <w:szCs w:val="20"/>
        </w:rPr>
        <w:t>:</w:t>
      </w:r>
      <w:r w:rsidR="00602463" w:rsidRPr="00602463">
        <w:rPr>
          <w:rFonts w:ascii="Arial" w:hAnsi="Arial" w:cs="Arial"/>
          <w:sz w:val="20"/>
          <w:szCs w:val="20"/>
        </w:rPr>
        <w:t xml:space="preserve"> </w:t>
      </w:r>
      <w:r w:rsidRPr="00602463">
        <w:rPr>
          <w:rFonts w:ascii="Arial" w:hAnsi="Arial" w:cs="Arial"/>
          <w:sz w:val="20"/>
          <w:szCs w:val="20"/>
        </w:rPr>
        <w:t>VND</w:t>
      </w:r>
      <w:r w:rsidRPr="00602463">
        <w:rPr>
          <w:rFonts w:ascii="Arial" w:hAnsi="Arial" w:cs="Arial"/>
          <w:sz w:val="20"/>
          <w:szCs w:val="20"/>
        </w:rPr>
        <w:t xml:space="preserve"> </w:t>
      </w:r>
      <w:r w:rsidR="00602463" w:rsidRPr="00602463">
        <w:rPr>
          <w:rFonts w:ascii="Arial" w:hAnsi="Arial" w:cs="Arial"/>
          <w:sz w:val="20"/>
          <w:szCs w:val="20"/>
        </w:rPr>
        <w:t>500</w:t>
      </w:r>
      <w:r>
        <w:rPr>
          <w:rFonts w:ascii="Arial" w:hAnsi="Arial" w:cs="Arial"/>
          <w:sz w:val="20"/>
          <w:szCs w:val="20"/>
        </w:rPr>
        <w:t>,</w:t>
      </w:r>
      <w:r w:rsidR="00602463" w:rsidRPr="00602463">
        <w:rPr>
          <w:rFonts w:ascii="Arial" w:hAnsi="Arial" w:cs="Arial"/>
          <w:sz w:val="20"/>
          <w:szCs w:val="20"/>
        </w:rPr>
        <w:t>000</w:t>
      </w:r>
      <w:r>
        <w:rPr>
          <w:rFonts w:ascii="Arial" w:hAnsi="Arial" w:cs="Arial"/>
          <w:sz w:val="20"/>
          <w:szCs w:val="20"/>
        </w:rPr>
        <w:t xml:space="preserve">,000 </w:t>
      </w:r>
      <w:r w:rsidR="00602463" w:rsidRPr="00602463">
        <w:rPr>
          <w:rFonts w:ascii="Arial" w:hAnsi="Arial" w:cs="Arial"/>
          <w:sz w:val="20"/>
          <w:szCs w:val="20"/>
        </w:rPr>
        <w:t xml:space="preserve"> </w:t>
      </w:r>
    </w:p>
    <w:p w:rsidR="0032194F" w:rsidRDefault="0032194F" w:rsidP="005610CB">
      <w:pPr>
        <w:spacing w:line="360" w:lineRule="auto"/>
        <w:jc w:val="both"/>
        <w:rPr>
          <w:rFonts w:ascii="Arial" w:hAnsi="Arial" w:cs="Arial"/>
          <w:sz w:val="20"/>
          <w:szCs w:val="20"/>
        </w:rPr>
      </w:pPr>
      <w:r>
        <w:rPr>
          <w:rFonts w:ascii="Arial" w:hAnsi="Arial" w:cs="Arial"/>
          <w:sz w:val="20"/>
          <w:szCs w:val="20"/>
        </w:rPr>
        <w:t xml:space="preserve">3. </w:t>
      </w:r>
      <w:r w:rsidR="00602463" w:rsidRPr="00602463">
        <w:rPr>
          <w:rFonts w:ascii="Arial" w:hAnsi="Arial" w:cs="Arial"/>
          <w:sz w:val="20"/>
          <w:szCs w:val="20"/>
        </w:rPr>
        <w:t>Reward the Board of Directors and the Supervisory Board</w:t>
      </w:r>
      <w:r>
        <w:rPr>
          <w:rFonts w:ascii="Arial" w:hAnsi="Arial" w:cs="Arial"/>
          <w:sz w:val="20"/>
          <w:szCs w:val="20"/>
        </w:rPr>
        <w:t xml:space="preserve">: </w:t>
      </w:r>
      <w:r w:rsidRPr="00602463">
        <w:rPr>
          <w:rFonts w:ascii="Arial" w:hAnsi="Arial" w:cs="Arial"/>
          <w:sz w:val="20"/>
          <w:szCs w:val="20"/>
        </w:rPr>
        <w:t>VND</w:t>
      </w:r>
      <w:r w:rsidRPr="00602463">
        <w:rPr>
          <w:rFonts w:ascii="Arial" w:hAnsi="Arial" w:cs="Arial"/>
          <w:sz w:val="20"/>
          <w:szCs w:val="20"/>
        </w:rPr>
        <w:t xml:space="preserve"> </w:t>
      </w:r>
      <w:r w:rsidR="00602463" w:rsidRPr="00602463">
        <w:rPr>
          <w:rFonts w:ascii="Arial" w:hAnsi="Arial" w:cs="Arial"/>
          <w:sz w:val="20"/>
          <w:szCs w:val="20"/>
        </w:rPr>
        <w:t>500</w:t>
      </w:r>
      <w:r>
        <w:rPr>
          <w:rFonts w:ascii="Arial" w:hAnsi="Arial" w:cs="Arial"/>
          <w:sz w:val="20"/>
          <w:szCs w:val="20"/>
        </w:rPr>
        <w:t>,</w:t>
      </w:r>
      <w:r w:rsidR="00602463" w:rsidRPr="00602463">
        <w:rPr>
          <w:rFonts w:ascii="Arial" w:hAnsi="Arial" w:cs="Arial"/>
          <w:sz w:val="20"/>
          <w:szCs w:val="20"/>
        </w:rPr>
        <w:t>000</w:t>
      </w:r>
      <w:r>
        <w:rPr>
          <w:rFonts w:ascii="Arial" w:hAnsi="Arial" w:cs="Arial"/>
          <w:sz w:val="20"/>
          <w:szCs w:val="20"/>
        </w:rPr>
        <w:t>,</w:t>
      </w:r>
      <w:r w:rsidR="00602463" w:rsidRPr="00602463">
        <w:rPr>
          <w:rFonts w:ascii="Arial" w:hAnsi="Arial" w:cs="Arial"/>
          <w:sz w:val="20"/>
          <w:szCs w:val="20"/>
        </w:rPr>
        <w:t xml:space="preserve">000 </w:t>
      </w:r>
    </w:p>
    <w:p w:rsidR="0032194F" w:rsidRPr="00602463" w:rsidRDefault="0032194F" w:rsidP="0032194F">
      <w:pPr>
        <w:spacing w:line="360" w:lineRule="auto"/>
        <w:jc w:val="both"/>
        <w:rPr>
          <w:rFonts w:ascii="Arial" w:hAnsi="Arial" w:cs="Arial"/>
          <w:sz w:val="20"/>
          <w:szCs w:val="20"/>
        </w:rPr>
      </w:pPr>
      <w:r>
        <w:rPr>
          <w:rFonts w:ascii="Arial" w:hAnsi="Arial" w:cs="Arial"/>
          <w:sz w:val="20"/>
          <w:szCs w:val="20"/>
        </w:rPr>
        <w:t>4.</w:t>
      </w:r>
      <w:r w:rsidR="00602463" w:rsidRPr="00602463">
        <w:rPr>
          <w:rFonts w:ascii="Arial" w:hAnsi="Arial" w:cs="Arial"/>
          <w:sz w:val="20"/>
          <w:szCs w:val="20"/>
        </w:rPr>
        <w:t xml:space="preserve"> Undistributed profit after tax</w:t>
      </w:r>
      <w:r>
        <w:rPr>
          <w:rFonts w:ascii="Arial" w:hAnsi="Arial" w:cs="Arial"/>
          <w:sz w:val="20"/>
          <w:szCs w:val="20"/>
        </w:rPr>
        <w:t>: VND</w:t>
      </w:r>
      <w:r w:rsidR="00602463" w:rsidRPr="00602463">
        <w:rPr>
          <w:rFonts w:ascii="Arial" w:hAnsi="Arial" w:cs="Arial"/>
          <w:sz w:val="20"/>
          <w:szCs w:val="20"/>
        </w:rPr>
        <w:t xml:space="preserve"> 3</w:t>
      </w:r>
      <w:r>
        <w:rPr>
          <w:rFonts w:ascii="Arial" w:hAnsi="Arial" w:cs="Arial"/>
          <w:sz w:val="20"/>
          <w:szCs w:val="20"/>
        </w:rPr>
        <w:t>,</w:t>
      </w:r>
      <w:r w:rsidR="00602463" w:rsidRPr="00602463">
        <w:rPr>
          <w:rFonts w:ascii="Arial" w:hAnsi="Arial" w:cs="Arial"/>
          <w:sz w:val="20"/>
          <w:szCs w:val="20"/>
        </w:rPr>
        <w:t>655</w:t>
      </w:r>
      <w:r>
        <w:rPr>
          <w:rFonts w:ascii="Arial" w:hAnsi="Arial" w:cs="Arial"/>
          <w:sz w:val="20"/>
          <w:szCs w:val="20"/>
        </w:rPr>
        <w:t>,</w:t>
      </w:r>
      <w:r w:rsidR="00602463" w:rsidRPr="00602463">
        <w:rPr>
          <w:rFonts w:ascii="Arial" w:hAnsi="Arial" w:cs="Arial"/>
          <w:sz w:val="20"/>
          <w:szCs w:val="20"/>
        </w:rPr>
        <w:t>217</w:t>
      </w:r>
      <w:r>
        <w:rPr>
          <w:rFonts w:ascii="Arial" w:hAnsi="Arial" w:cs="Arial"/>
          <w:sz w:val="20"/>
          <w:szCs w:val="20"/>
        </w:rPr>
        <w:t>,</w:t>
      </w:r>
      <w:r w:rsidR="00602463" w:rsidRPr="00602463">
        <w:rPr>
          <w:rFonts w:ascii="Arial" w:hAnsi="Arial" w:cs="Arial"/>
          <w:sz w:val="20"/>
          <w:szCs w:val="20"/>
        </w:rPr>
        <w:t xml:space="preserve">087 </w:t>
      </w:r>
    </w:p>
    <w:p w:rsidR="0032194F" w:rsidRDefault="0032194F" w:rsidP="005610CB">
      <w:pPr>
        <w:spacing w:line="360" w:lineRule="auto"/>
        <w:jc w:val="both"/>
        <w:rPr>
          <w:rFonts w:ascii="Arial" w:hAnsi="Arial" w:cs="Arial"/>
          <w:sz w:val="20"/>
          <w:szCs w:val="20"/>
        </w:rPr>
      </w:pPr>
      <w:r>
        <w:rPr>
          <w:rFonts w:ascii="Arial" w:hAnsi="Arial" w:cs="Arial"/>
          <w:sz w:val="20"/>
          <w:szCs w:val="20"/>
        </w:rPr>
        <w:t>Article 8: Approve</w:t>
      </w:r>
      <w:r w:rsidR="00602463" w:rsidRPr="00602463">
        <w:rPr>
          <w:rFonts w:ascii="Arial" w:hAnsi="Arial" w:cs="Arial"/>
          <w:sz w:val="20"/>
          <w:szCs w:val="20"/>
        </w:rPr>
        <w:t xml:space="preserve"> the Proposal on changing the name of </w:t>
      </w:r>
      <w:proofErr w:type="spellStart"/>
      <w:r w:rsidR="00602463" w:rsidRPr="00602463">
        <w:rPr>
          <w:rFonts w:ascii="Arial" w:hAnsi="Arial" w:cs="Arial"/>
          <w:sz w:val="20"/>
          <w:szCs w:val="20"/>
        </w:rPr>
        <w:t>Tra</w:t>
      </w:r>
      <w:proofErr w:type="spellEnd"/>
      <w:r w:rsidR="00602463" w:rsidRPr="00602463">
        <w:rPr>
          <w:rFonts w:ascii="Arial" w:hAnsi="Arial" w:cs="Arial"/>
          <w:sz w:val="20"/>
          <w:szCs w:val="20"/>
        </w:rPr>
        <w:t xml:space="preserve"> </w:t>
      </w:r>
      <w:proofErr w:type="spellStart"/>
      <w:r w:rsidR="00602463" w:rsidRPr="00602463">
        <w:rPr>
          <w:rFonts w:ascii="Arial" w:hAnsi="Arial" w:cs="Arial"/>
          <w:sz w:val="20"/>
          <w:szCs w:val="20"/>
        </w:rPr>
        <w:t>Vinh</w:t>
      </w:r>
      <w:proofErr w:type="spellEnd"/>
      <w:r w:rsidR="00602463" w:rsidRPr="00602463">
        <w:rPr>
          <w:rFonts w:ascii="Arial" w:hAnsi="Arial" w:cs="Arial"/>
          <w:sz w:val="20"/>
          <w:szCs w:val="20"/>
        </w:rPr>
        <w:t xml:space="preserve"> Rural Electric D</w:t>
      </w:r>
      <w:r>
        <w:rPr>
          <w:rFonts w:ascii="Arial" w:hAnsi="Arial" w:cs="Arial"/>
          <w:sz w:val="20"/>
          <w:szCs w:val="20"/>
        </w:rPr>
        <w:t>evelopment Joint Stock Company</w:t>
      </w:r>
    </w:p>
    <w:p w:rsidR="0032194F" w:rsidRDefault="0032194F" w:rsidP="005610CB">
      <w:pPr>
        <w:spacing w:line="360" w:lineRule="auto"/>
        <w:jc w:val="both"/>
        <w:rPr>
          <w:rFonts w:ascii="Arial" w:hAnsi="Arial" w:cs="Arial"/>
          <w:sz w:val="20"/>
          <w:szCs w:val="20"/>
        </w:rPr>
      </w:pPr>
      <w:r>
        <w:rPr>
          <w:rFonts w:ascii="Arial" w:hAnsi="Arial" w:cs="Arial"/>
          <w:sz w:val="20"/>
          <w:szCs w:val="20"/>
        </w:rPr>
        <w:lastRenderedPageBreak/>
        <w:t>Article 9:</w:t>
      </w:r>
      <w:r w:rsidR="00602463" w:rsidRPr="00602463">
        <w:rPr>
          <w:rFonts w:ascii="Arial" w:hAnsi="Arial" w:cs="Arial"/>
          <w:sz w:val="20"/>
          <w:szCs w:val="20"/>
        </w:rPr>
        <w:t xml:space="preserve"> Approve the remuneration report for members of the Board of Directors and the Supervisory Board in 2019 and the plan for remuneration for members of the Board of Directors and the Supervisory Board in </w:t>
      </w:r>
      <w:r>
        <w:rPr>
          <w:rFonts w:ascii="Arial" w:hAnsi="Arial" w:cs="Arial"/>
          <w:sz w:val="20"/>
          <w:szCs w:val="20"/>
        </w:rPr>
        <w:t>2020</w:t>
      </w:r>
    </w:p>
    <w:p w:rsidR="0032194F" w:rsidRDefault="0032194F" w:rsidP="005610CB">
      <w:pPr>
        <w:spacing w:line="360" w:lineRule="auto"/>
        <w:jc w:val="both"/>
        <w:rPr>
          <w:rFonts w:ascii="Arial" w:hAnsi="Arial" w:cs="Arial"/>
          <w:sz w:val="20"/>
          <w:szCs w:val="20"/>
        </w:rPr>
      </w:pPr>
      <w:r>
        <w:rPr>
          <w:rFonts w:ascii="Arial" w:hAnsi="Arial" w:cs="Arial"/>
          <w:sz w:val="20"/>
          <w:szCs w:val="20"/>
        </w:rPr>
        <w:t xml:space="preserve">1. </w:t>
      </w:r>
      <w:r w:rsidR="00602463" w:rsidRPr="00602463">
        <w:rPr>
          <w:rFonts w:ascii="Arial" w:hAnsi="Arial" w:cs="Arial"/>
          <w:sz w:val="20"/>
          <w:szCs w:val="20"/>
        </w:rPr>
        <w:t xml:space="preserve">The </w:t>
      </w:r>
      <w:r>
        <w:rPr>
          <w:rFonts w:ascii="Arial" w:hAnsi="Arial" w:cs="Arial"/>
          <w:sz w:val="20"/>
          <w:szCs w:val="20"/>
        </w:rPr>
        <w:t>General Mandate dated March 22, 2019 approving</w:t>
      </w:r>
      <w:r w:rsidR="00602463" w:rsidRPr="00602463">
        <w:rPr>
          <w:rFonts w:ascii="Arial" w:hAnsi="Arial" w:cs="Arial"/>
          <w:sz w:val="20"/>
          <w:szCs w:val="20"/>
        </w:rPr>
        <w:t xml:space="preserve"> the total remuneration of the Board of Directors and the Supervisory Board in 2019</w:t>
      </w:r>
      <w:r>
        <w:rPr>
          <w:rFonts w:ascii="Arial" w:hAnsi="Arial" w:cs="Arial"/>
          <w:sz w:val="20"/>
          <w:szCs w:val="20"/>
        </w:rPr>
        <w:t>: VND</w:t>
      </w:r>
      <w:r w:rsidR="00602463" w:rsidRPr="00602463">
        <w:rPr>
          <w:rFonts w:ascii="Arial" w:hAnsi="Arial" w:cs="Arial"/>
          <w:sz w:val="20"/>
          <w:szCs w:val="20"/>
        </w:rPr>
        <w:t xml:space="preserve"> 375</w:t>
      </w:r>
      <w:r>
        <w:rPr>
          <w:rFonts w:ascii="Arial" w:hAnsi="Arial" w:cs="Arial"/>
          <w:sz w:val="20"/>
          <w:szCs w:val="20"/>
        </w:rPr>
        <w:t>,</w:t>
      </w:r>
      <w:r w:rsidR="00602463" w:rsidRPr="00602463">
        <w:rPr>
          <w:rFonts w:ascii="Arial" w:hAnsi="Arial" w:cs="Arial"/>
          <w:sz w:val="20"/>
          <w:szCs w:val="20"/>
        </w:rPr>
        <w:t>000</w:t>
      </w:r>
      <w:r>
        <w:rPr>
          <w:rFonts w:ascii="Arial" w:hAnsi="Arial" w:cs="Arial"/>
          <w:sz w:val="20"/>
          <w:szCs w:val="20"/>
        </w:rPr>
        <w:t>,</w:t>
      </w:r>
      <w:r w:rsidR="00602463" w:rsidRPr="00602463">
        <w:rPr>
          <w:rFonts w:ascii="Arial" w:hAnsi="Arial" w:cs="Arial"/>
          <w:sz w:val="20"/>
          <w:szCs w:val="20"/>
        </w:rPr>
        <w:t>000</w:t>
      </w:r>
    </w:p>
    <w:p w:rsidR="0032194F" w:rsidRDefault="00602463" w:rsidP="005610CB">
      <w:pPr>
        <w:spacing w:line="360" w:lineRule="auto"/>
        <w:jc w:val="both"/>
        <w:rPr>
          <w:rFonts w:ascii="Arial" w:hAnsi="Arial" w:cs="Arial"/>
          <w:sz w:val="20"/>
          <w:szCs w:val="20"/>
        </w:rPr>
      </w:pPr>
      <w:r w:rsidRPr="00602463">
        <w:rPr>
          <w:rFonts w:ascii="Arial" w:hAnsi="Arial" w:cs="Arial"/>
          <w:sz w:val="20"/>
          <w:szCs w:val="20"/>
        </w:rPr>
        <w:t>Total spent</w:t>
      </w:r>
      <w:r w:rsidR="0032194F">
        <w:rPr>
          <w:rFonts w:ascii="Arial" w:hAnsi="Arial" w:cs="Arial"/>
          <w:sz w:val="20"/>
          <w:szCs w:val="20"/>
        </w:rPr>
        <w:t xml:space="preserve">: VND </w:t>
      </w:r>
      <w:r w:rsidRPr="00602463">
        <w:rPr>
          <w:rFonts w:ascii="Arial" w:hAnsi="Arial" w:cs="Arial"/>
          <w:sz w:val="20"/>
          <w:szCs w:val="20"/>
        </w:rPr>
        <w:t>339</w:t>
      </w:r>
      <w:r w:rsidR="0032194F">
        <w:rPr>
          <w:rFonts w:ascii="Arial" w:hAnsi="Arial" w:cs="Arial"/>
          <w:sz w:val="20"/>
          <w:szCs w:val="20"/>
        </w:rPr>
        <w:t>,</w:t>
      </w:r>
      <w:r w:rsidRPr="00602463">
        <w:rPr>
          <w:rFonts w:ascii="Arial" w:hAnsi="Arial" w:cs="Arial"/>
          <w:sz w:val="20"/>
          <w:szCs w:val="20"/>
        </w:rPr>
        <w:t>000</w:t>
      </w:r>
      <w:r w:rsidR="0032194F">
        <w:rPr>
          <w:rFonts w:ascii="Arial" w:hAnsi="Arial" w:cs="Arial"/>
          <w:sz w:val="20"/>
          <w:szCs w:val="20"/>
        </w:rPr>
        <w:t>,</w:t>
      </w:r>
      <w:r w:rsidRPr="00602463">
        <w:rPr>
          <w:rFonts w:ascii="Arial" w:hAnsi="Arial" w:cs="Arial"/>
          <w:sz w:val="20"/>
          <w:szCs w:val="20"/>
        </w:rPr>
        <w:t xml:space="preserve">000 </w:t>
      </w:r>
    </w:p>
    <w:p w:rsidR="0032194F" w:rsidRDefault="0032194F" w:rsidP="005610CB">
      <w:pPr>
        <w:spacing w:line="360" w:lineRule="auto"/>
        <w:jc w:val="both"/>
        <w:rPr>
          <w:rFonts w:ascii="Arial" w:hAnsi="Arial" w:cs="Arial"/>
          <w:sz w:val="20"/>
          <w:szCs w:val="20"/>
        </w:rPr>
      </w:pPr>
      <w:r>
        <w:rPr>
          <w:rFonts w:ascii="Arial" w:hAnsi="Arial" w:cs="Arial"/>
          <w:sz w:val="20"/>
          <w:szCs w:val="20"/>
        </w:rPr>
        <w:t xml:space="preserve">2. </w:t>
      </w:r>
      <w:r w:rsidR="00602463" w:rsidRPr="00602463">
        <w:rPr>
          <w:rFonts w:ascii="Arial" w:hAnsi="Arial" w:cs="Arial"/>
          <w:sz w:val="20"/>
          <w:szCs w:val="20"/>
        </w:rPr>
        <w:t>Plan for payment of remuneration in 2020 to the Board of Directors and the Supervisory Board</w:t>
      </w:r>
      <w:r>
        <w:rPr>
          <w:rFonts w:ascii="Arial" w:hAnsi="Arial" w:cs="Arial"/>
          <w:sz w:val="20"/>
          <w:szCs w:val="20"/>
        </w:rPr>
        <w:t>:</w:t>
      </w:r>
      <w:r w:rsidR="00602463" w:rsidRPr="00602463">
        <w:rPr>
          <w:rFonts w:ascii="Arial" w:hAnsi="Arial" w:cs="Arial"/>
          <w:sz w:val="20"/>
          <w:szCs w:val="20"/>
        </w:rPr>
        <w:t xml:space="preserve"> fixed </w:t>
      </w:r>
      <w:r w:rsidRPr="00602463">
        <w:rPr>
          <w:rFonts w:ascii="Arial" w:hAnsi="Arial" w:cs="Arial"/>
          <w:sz w:val="20"/>
          <w:szCs w:val="20"/>
        </w:rPr>
        <w:t>VND</w:t>
      </w:r>
      <w:r w:rsidRPr="00602463">
        <w:rPr>
          <w:rFonts w:ascii="Arial" w:hAnsi="Arial" w:cs="Arial"/>
          <w:sz w:val="20"/>
          <w:szCs w:val="20"/>
        </w:rPr>
        <w:t xml:space="preserve"> </w:t>
      </w:r>
      <w:r w:rsidR="00602463" w:rsidRPr="00602463">
        <w:rPr>
          <w:rFonts w:ascii="Arial" w:hAnsi="Arial" w:cs="Arial"/>
          <w:sz w:val="20"/>
          <w:szCs w:val="20"/>
        </w:rPr>
        <w:t>375</w:t>
      </w:r>
      <w:r>
        <w:rPr>
          <w:rFonts w:ascii="Arial" w:hAnsi="Arial" w:cs="Arial"/>
          <w:sz w:val="20"/>
          <w:szCs w:val="20"/>
        </w:rPr>
        <w:t>,</w:t>
      </w:r>
      <w:r w:rsidR="00602463" w:rsidRPr="00602463">
        <w:rPr>
          <w:rFonts w:ascii="Arial" w:hAnsi="Arial" w:cs="Arial"/>
          <w:sz w:val="20"/>
          <w:szCs w:val="20"/>
        </w:rPr>
        <w:t>000</w:t>
      </w:r>
      <w:r>
        <w:rPr>
          <w:rFonts w:ascii="Arial" w:hAnsi="Arial" w:cs="Arial"/>
          <w:sz w:val="20"/>
          <w:szCs w:val="20"/>
        </w:rPr>
        <w:t>,000</w:t>
      </w:r>
      <w:r w:rsidR="00602463" w:rsidRPr="00602463">
        <w:rPr>
          <w:rFonts w:ascii="Arial" w:hAnsi="Arial" w:cs="Arial"/>
          <w:sz w:val="20"/>
          <w:szCs w:val="20"/>
        </w:rPr>
        <w:t xml:space="preserve">/year; Authorize </w:t>
      </w:r>
      <w:r>
        <w:rPr>
          <w:rFonts w:ascii="Arial" w:hAnsi="Arial" w:cs="Arial"/>
          <w:sz w:val="20"/>
          <w:szCs w:val="20"/>
        </w:rPr>
        <w:t xml:space="preserve">Board of Directors to implement </w:t>
      </w:r>
      <w:r w:rsidR="00602463" w:rsidRPr="00602463">
        <w:rPr>
          <w:rFonts w:ascii="Arial" w:hAnsi="Arial" w:cs="Arial"/>
          <w:sz w:val="20"/>
          <w:szCs w:val="20"/>
        </w:rPr>
        <w:t xml:space="preserve">the distribution </w:t>
      </w:r>
    </w:p>
    <w:p w:rsidR="00485B2B" w:rsidRDefault="0032194F" w:rsidP="005610CB">
      <w:pPr>
        <w:spacing w:line="360" w:lineRule="auto"/>
        <w:jc w:val="both"/>
        <w:rPr>
          <w:rFonts w:ascii="Arial" w:hAnsi="Arial" w:cs="Arial"/>
          <w:sz w:val="20"/>
          <w:szCs w:val="20"/>
        </w:rPr>
      </w:pPr>
      <w:r>
        <w:rPr>
          <w:rFonts w:ascii="Arial" w:hAnsi="Arial" w:cs="Arial"/>
          <w:sz w:val="20"/>
          <w:szCs w:val="20"/>
        </w:rPr>
        <w:t>Article 10:</w:t>
      </w:r>
      <w:r w:rsidR="00602463" w:rsidRPr="00602463">
        <w:rPr>
          <w:rFonts w:ascii="Arial" w:hAnsi="Arial" w:cs="Arial"/>
          <w:sz w:val="20"/>
          <w:szCs w:val="20"/>
        </w:rPr>
        <w:t xml:space="preserve"> Approving the Statement of approving the amendment of Charter of </w:t>
      </w:r>
      <w:proofErr w:type="spellStart"/>
      <w:r w:rsidRPr="0032194F">
        <w:rPr>
          <w:rFonts w:ascii="Arial" w:hAnsi="Arial" w:cs="Arial"/>
          <w:sz w:val="20"/>
          <w:szCs w:val="20"/>
        </w:rPr>
        <w:t>Tra</w:t>
      </w:r>
      <w:proofErr w:type="spellEnd"/>
      <w:r w:rsidRPr="0032194F">
        <w:rPr>
          <w:rFonts w:ascii="Arial" w:hAnsi="Arial" w:cs="Arial"/>
          <w:sz w:val="20"/>
          <w:szCs w:val="20"/>
        </w:rPr>
        <w:t xml:space="preserve"> </w:t>
      </w:r>
      <w:proofErr w:type="spellStart"/>
      <w:r w:rsidRPr="0032194F">
        <w:rPr>
          <w:rFonts w:ascii="Arial" w:hAnsi="Arial" w:cs="Arial"/>
          <w:sz w:val="20"/>
          <w:szCs w:val="20"/>
        </w:rPr>
        <w:t>Vinh</w:t>
      </w:r>
      <w:proofErr w:type="spellEnd"/>
      <w:r w:rsidRPr="0032194F">
        <w:rPr>
          <w:rFonts w:ascii="Arial" w:hAnsi="Arial" w:cs="Arial"/>
          <w:sz w:val="20"/>
          <w:szCs w:val="20"/>
        </w:rPr>
        <w:t xml:space="preserve"> Rural Electric Development Joint Stock Company</w:t>
      </w:r>
      <w:r w:rsidR="00602463" w:rsidRPr="00602463">
        <w:rPr>
          <w:rFonts w:ascii="Arial" w:hAnsi="Arial" w:cs="Arial"/>
          <w:sz w:val="20"/>
          <w:szCs w:val="20"/>
        </w:rPr>
        <w:t xml:space="preserve">  </w:t>
      </w:r>
    </w:p>
    <w:p w:rsidR="00485B2B" w:rsidRDefault="00485B2B" w:rsidP="005610CB">
      <w:pPr>
        <w:spacing w:line="360" w:lineRule="auto"/>
        <w:jc w:val="both"/>
        <w:rPr>
          <w:rFonts w:ascii="Arial" w:hAnsi="Arial" w:cs="Arial"/>
          <w:sz w:val="20"/>
          <w:szCs w:val="20"/>
        </w:rPr>
      </w:pPr>
      <w:r>
        <w:rPr>
          <w:rFonts w:ascii="Arial" w:hAnsi="Arial" w:cs="Arial"/>
          <w:sz w:val="20"/>
          <w:szCs w:val="20"/>
        </w:rPr>
        <w:t>Article 11:</w:t>
      </w:r>
      <w:r w:rsidR="00602463" w:rsidRPr="00602463">
        <w:rPr>
          <w:rFonts w:ascii="Arial" w:hAnsi="Arial" w:cs="Arial"/>
          <w:sz w:val="20"/>
          <w:szCs w:val="20"/>
        </w:rPr>
        <w:t xml:space="preserve"> Approving the Statement of approval of the amendment of Internal Regulations on </w:t>
      </w:r>
      <w:r>
        <w:rPr>
          <w:rFonts w:ascii="Arial" w:hAnsi="Arial" w:cs="Arial"/>
          <w:sz w:val="20"/>
          <w:szCs w:val="20"/>
        </w:rPr>
        <w:t xml:space="preserve">corporate </w:t>
      </w:r>
      <w:r w:rsidR="00602463" w:rsidRPr="00602463">
        <w:rPr>
          <w:rFonts w:ascii="Arial" w:hAnsi="Arial" w:cs="Arial"/>
          <w:sz w:val="20"/>
          <w:szCs w:val="20"/>
        </w:rPr>
        <w:t xml:space="preserve">governance </w:t>
      </w:r>
      <w:r>
        <w:rPr>
          <w:rFonts w:ascii="Arial" w:hAnsi="Arial" w:cs="Arial"/>
          <w:sz w:val="20"/>
          <w:szCs w:val="20"/>
        </w:rPr>
        <w:t>of</w:t>
      </w:r>
      <w:r w:rsidR="00602463" w:rsidRPr="00602463">
        <w:rPr>
          <w:rFonts w:ascii="Arial" w:hAnsi="Arial" w:cs="Arial"/>
          <w:sz w:val="20"/>
          <w:szCs w:val="20"/>
        </w:rPr>
        <w:t xml:space="preserve"> </w:t>
      </w:r>
      <w:proofErr w:type="spellStart"/>
      <w:r w:rsidR="00602463" w:rsidRPr="00602463">
        <w:rPr>
          <w:rFonts w:ascii="Arial" w:hAnsi="Arial" w:cs="Arial"/>
          <w:sz w:val="20"/>
          <w:szCs w:val="20"/>
        </w:rPr>
        <w:t>Tra</w:t>
      </w:r>
      <w:proofErr w:type="spellEnd"/>
      <w:r w:rsidR="00602463" w:rsidRPr="00602463">
        <w:rPr>
          <w:rFonts w:ascii="Arial" w:hAnsi="Arial" w:cs="Arial"/>
          <w:sz w:val="20"/>
          <w:szCs w:val="20"/>
        </w:rPr>
        <w:t xml:space="preserve"> </w:t>
      </w:r>
      <w:proofErr w:type="spellStart"/>
      <w:r w:rsidR="00602463" w:rsidRPr="00602463">
        <w:rPr>
          <w:rFonts w:ascii="Arial" w:hAnsi="Arial" w:cs="Arial"/>
          <w:sz w:val="20"/>
          <w:szCs w:val="20"/>
        </w:rPr>
        <w:t>Vinh</w:t>
      </w:r>
      <w:proofErr w:type="spellEnd"/>
      <w:r w:rsidR="00602463" w:rsidRPr="00602463">
        <w:rPr>
          <w:rFonts w:ascii="Arial" w:hAnsi="Arial" w:cs="Arial"/>
          <w:sz w:val="20"/>
          <w:szCs w:val="20"/>
        </w:rPr>
        <w:t xml:space="preserve"> Rural Electric Development Joint Stock Company </w:t>
      </w:r>
    </w:p>
    <w:p w:rsidR="00485B2B" w:rsidRDefault="00485B2B" w:rsidP="005610CB">
      <w:pPr>
        <w:spacing w:line="360" w:lineRule="auto"/>
        <w:jc w:val="both"/>
        <w:rPr>
          <w:rFonts w:ascii="Arial" w:hAnsi="Arial" w:cs="Arial"/>
          <w:sz w:val="20"/>
          <w:szCs w:val="20"/>
        </w:rPr>
      </w:pPr>
      <w:r>
        <w:rPr>
          <w:rFonts w:ascii="Arial" w:hAnsi="Arial" w:cs="Arial"/>
          <w:sz w:val="20"/>
          <w:szCs w:val="20"/>
        </w:rPr>
        <w:t>Article 12:</w:t>
      </w:r>
      <w:r w:rsidR="00602463" w:rsidRPr="00602463">
        <w:rPr>
          <w:rFonts w:ascii="Arial" w:hAnsi="Arial" w:cs="Arial"/>
          <w:sz w:val="20"/>
          <w:szCs w:val="20"/>
        </w:rPr>
        <w:t xml:space="preserve"> Proposal of </w:t>
      </w:r>
      <w:r>
        <w:rPr>
          <w:rFonts w:ascii="Arial" w:hAnsi="Arial" w:cs="Arial"/>
          <w:sz w:val="20"/>
          <w:szCs w:val="20"/>
        </w:rPr>
        <w:t xml:space="preserve">an </w:t>
      </w:r>
      <w:r w:rsidR="00602463" w:rsidRPr="00602463">
        <w:rPr>
          <w:rFonts w:ascii="Arial" w:hAnsi="Arial" w:cs="Arial"/>
          <w:sz w:val="20"/>
          <w:szCs w:val="20"/>
        </w:rPr>
        <w:t xml:space="preserve">auditing unit </w:t>
      </w:r>
      <w:r>
        <w:rPr>
          <w:rFonts w:ascii="Arial" w:hAnsi="Arial" w:cs="Arial"/>
          <w:sz w:val="20"/>
          <w:szCs w:val="20"/>
        </w:rPr>
        <w:t>to audit financial statements</w:t>
      </w:r>
      <w:r w:rsidR="00602463" w:rsidRPr="00602463">
        <w:rPr>
          <w:rFonts w:ascii="Arial" w:hAnsi="Arial" w:cs="Arial"/>
          <w:sz w:val="20"/>
          <w:szCs w:val="20"/>
        </w:rPr>
        <w:t xml:space="preserve"> in 2020: The General Meeting of Shareholders </w:t>
      </w:r>
      <w:r>
        <w:rPr>
          <w:rFonts w:ascii="Arial" w:hAnsi="Arial" w:cs="Arial"/>
          <w:sz w:val="20"/>
          <w:szCs w:val="20"/>
        </w:rPr>
        <w:t>authorized</w:t>
      </w:r>
      <w:r w:rsidR="00602463" w:rsidRPr="00602463">
        <w:rPr>
          <w:rFonts w:ascii="Arial" w:hAnsi="Arial" w:cs="Arial"/>
          <w:sz w:val="20"/>
          <w:szCs w:val="20"/>
        </w:rPr>
        <w:t xml:space="preserve"> the Board of Directors b</w:t>
      </w:r>
      <w:r>
        <w:rPr>
          <w:rFonts w:ascii="Arial" w:hAnsi="Arial" w:cs="Arial"/>
          <w:sz w:val="20"/>
          <w:szCs w:val="20"/>
        </w:rPr>
        <w:t xml:space="preserve">ased on professional standards, </w:t>
      </w:r>
      <w:r w:rsidR="00602463" w:rsidRPr="00602463">
        <w:rPr>
          <w:rFonts w:ascii="Arial" w:hAnsi="Arial" w:cs="Arial"/>
          <w:sz w:val="20"/>
          <w:szCs w:val="20"/>
        </w:rPr>
        <w:t xml:space="preserve">professionalism, resources and expenses to decide to choose one of the following independent auditing companies </w:t>
      </w:r>
      <w:r>
        <w:rPr>
          <w:rFonts w:ascii="Arial" w:hAnsi="Arial" w:cs="Arial"/>
          <w:sz w:val="20"/>
          <w:szCs w:val="20"/>
        </w:rPr>
        <w:t xml:space="preserve">to be </w:t>
      </w:r>
      <w:r w:rsidR="00602463" w:rsidRPr="00602463">
        <w:rPr>
          <w:rFonts w:ascii="Arial" w:hAnsi="Arial" w:cs="Arial"/>
          <w:sz w:val="20"/>
          <w:szCs w:val="20"/>
        </w:rPr>
        <w:t xml:space="preserve">the auditing unit of the Company's financial </w:t>
      </w:r>
      <w:r>
        <w:rPr>
          <w:rFonts w:ascii="Arial" w:hAnsi="Arial" w:cs="Arial"/>
          <w:sz w:val="20"/>
          <w:szCs w:val="20"/>
        </w:rPr>
        <w:t>statements in 2020</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Deloite</w:t>
      </w:r>
      <w:proofErr w:type="spellEnd"/>
      <w:r>
        <w:rPr>
          <w:rFonts w:ascii="Arial" w:hAnsi="Arial" w:cs="Arial"/>
          <w:sz w:val="20"/>
          <w:szCs w:val="20"/>
        </w:rPr>
        <w:t xml:space="preserve"> Company</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2. </w:t>
      </w:r>
      <w:r w:rsidRPr="00602463">
        <w:rPr>
          <w:rFonts w:ascii="Arial" w:hAnsi="Arial" w:cs="Arial"/>
          <w:sz w:val="20"/>
          <w:szCs w:val="20"/>
        </w:rPr>
        <w:t>Ernst &amp; Young Vietnam</w:t>
      </w:r>
      <w:r w:rsidRPr="00602463">
        <w:rPr>
          <w:rFonts w:ascii="Arial" w:hAnsi="Arial" w:cs="Arial"/>
          <w:sz w:val="20"/>
          <w:szCs w:val="20"/>
        </w:rPr>
        <w:t xml:space="preserve"> </w:t>
      </w:r>
      <w:r w:rsidR="00602463" w:rsidRPr="00602463">
        <w:rPr>
          <w:rFonts w:ascii="Arial" w:hAnsi="Arial" w:cs="Arial"/>
          <w:sz w:val="20"/>
          <w:szCs w:val="20"/>
        </w:rPr>
        <w:t xml:space="preserve">Co., Ltd.;  </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3. </w:t>
      </w:r>
      <w:proofErr w:type="spellStart"/>
      <w:r w:rsidR="00602463" w:rsidRPr="00602463">
        <w:rPr>
          <w:rFonts w:ascii="Arial" w:hAnsi="Arial" w:cs="Arial"/>
          <w:sz w:val="20"/>
          <w:szCs w:val="20"/>
        </w:rPr>
        <w:t>Pricewaterhouse</w:t>
      </w:r>
      <w:proofErr w:type="spellEnd"/>
      <w:r w:rsidR="00602463" w:rsidRPr="00602463">
        <w:rPr>
          <w:rFonts w:ascii="Arial" w:hAnsi="Arial" w:cs="Arial"/>
          <w:sz w:val="20"/>
          <w:szCs w:val="20"/>
        </w:rPr>
        <w:t xml:space="preserve"> Coope</w:t>
      </w:r>
      <w:r>
        <w:rPr>
          <w:rFonts w:ascii="Arial" w:hAnsi="Arial" w:cs="Arial"/>
          <w:sz w:val="20"/>
          <w:szCs w:val="20"/>
        </w:rPr>
        <w:t>r</w:t>
      </w:r>
      <w:r w:rsidR="00602463" w:rsidRPr="00602463">
        <w:rPr>
          <w:rFonts w:ascii="Arial" w:hAnsi="Arial" w:cs="Arial"/>
          <w:sz w:val="20"/>
          <w:szCs w:val="20"/>
        </w:rPr>
        <w:t xml:space="preserve">s Company;  </w:t>
      </w:r>
    </w:p>
    <w:p w:rsidR="00485B2B" w:rsidRDefault="00485B2B" w:rsidP="005610CB">
      <w:pPr>
        <w:spacing w:line="360" w:lineRule="auto"/>
        <w:jc w:val="both"/>
        <w:rPr>
          <w:rFonts w:ascii="Arial" w:hAnsi="Arial" w:cs="Arial"/>
          <w:sz w:val="20"/>
          <w:szCs w:val="20"/>
        </w:rPr>
      </w:pPr>
      <w:r>
        <w:rPr>
          <w:rFonts w:ascii="Arial" w:hAnsi="Arial" w:cs="Arial"/>
          <w:sz w:val="20"/>
          <w:szCs w:val="20"/>
        </w:rPr>
        <w:t>4. KPMG Company</w:t>
      </w:r>
      <w:bookmarkStart w:id="0" w:name="_GoBack"/>
      <w:bookmarkEnd w:id="0"/>
    </w:p>
    <w:p w:rsidR="00485B2B" w:rsidRDefault="00602463" w:rsidP="005610CB">
      <w:pPr>
        <w:spacing w:line="360" w:lineRule="auto"/>
        <w:jc w:val="both"/>
        <w:rPr>
          <w:rFonts w:ascii="Arial" w:hAnsi="Arial" w:cs="Arial"/>
          <w:sz w:val="20"/>
          <w:szCs w:val="20"/>
        </w:rPr>
      </w:pPr>
      <w:r w:rsidRPr="00602463">
        <w:rPr>
          <w:rFonts w:ascii="Arial" w:hAnsi="Arial" w:cs="Arial"/>
          <w:sz w:val="20"/>
          <w:szCs w:val="20"/>
        </w:rPr>
        <w:t>Article 13</w:t>
      </w:r>
      <w:r w:rsidR="00485B2B">
        <w:rPr>
          <w:rFonts w:ascii="Arial" w:hAnsi="Arial" w:cs="Arial"/>
          <w:sz w:val="20"/>
          <w:szCs w:val="20"/>
        </w:rPr>
        <w:t xml:space="preserve">: </w:t>
      </w:r>
      <w:r w:rsidRPr="00602463">
        <w:rPr>
          <w:rFonts w:ascii="Arial" w:hAnsi="Arial" w:cs="Arial"/>
          <w:sz w:val="20"/>
          <w:szCs w:val="20"/>
        </w:rPr>
        <w:t>Results of additional election of members of the Board of Dire</w:t>
      </w:r>
      <w:r w:rsidR="00485B2B">
        <w:rPr>
          <w:rFonts w:ascii="Arial" w:hAnsi="Arial" w:cs="Arial"/>
          <w:sz w:val="20"/>
          <w:szCs w:val="20"/>
        </w:rPr>
        <w:t xml:space="preserve">ctors for the term 2016 - 2021: </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 </w:t>
      </w:r>
      <w:r w:rsidR="00602463" w:rsidRPr="00602463">
        <w:rPr>
          <w:rFonts w:ascii="Arial" w:hAnsi="Arial" w:cs="Arial"/>
          <w:sz w:val="20"/>
          <w:szCs w:val="20"/>
        </w:rPr>
        <w:t xml:space="preserve">Mr. Nguyen </w:t>
      </w:r>
      <w:proofErr w:type="spellStart"/>
      <w:r w:rsidR="00602463" w:rsidRPr="00602463">
        <w:rPr>
          <w:rFonts w:ascii="Arial" w:hAnsi="Arial" w:cs="Arial"/>
          <w:sz w:val="20"/>
          <w:szCs w:val="20"/>
        </w:rPr>
        <w:t>Phong</w:t>
      </w:r>
      <w:proofErr w:type="spellEnd"/>
      <w:r w:rsidR="00602463" w:rsidRPr="00602463">
        <w:rPr>
          <w:rFonts w:ascii="Arial" w:hAnsi="Arial" w:cs="Arial"/>
          <w:sz w:val="20"/>
          <w:szCs w:val="20"/>
        </w:rPr>
        <w:t xml:space="preserve"> </w:t>
      </w:r>
      <w:proofErr w:type="spellStart"/>
      <w:r w:rsidR="00602463" w:rsidRPr="00602463">
        <w:rPr>
          <w:rFonts w:ascii="Arial" w:hAnsi="Arial" w:cs="Arial"/>
          <w:sz w:val="20"/>
          <w:szCs w:val="20"/>
        </w:rPr>
        <w:t>Danh</w:t>
      </w:r>
      <w:proofErr w:type="spellEnd"/>
      <w:r w:rsidR="00602463" w:rsidRPr="00602463">
        <w:rPr>
          <w:rFonts w:ascii="Arial" w:hAnsi="Arial" w:cs="Arial"/>
          <w:sz w:val="20"/>
          <w:szCs w:val="20"/>
        </w:rPr>
        <w:t xml:space="preserve"> </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 Ms. </w:t>
      </w:r>
      <w:proofErr w:type="spellStart"/>
      <w:r>
        <w:rPr>
          <w:rFonts w:ascii="Arial" w:hAnsi="Arial" w:cs="Arial"/>
          <w:sz w:val="20"/>
          <w:szCs w:val="20"/>
        </w:rPr>
        <w:t>Luong</w:t>
      </w:r>
      <w:proofErr w:type="spellEnd"/>
      <w:r>
        <w:rPr>
          <w:rFonts w:ascii="Arial" w:hAnsi="Arial" w:cs="Arial"/>
          <w:sz w:val="20"/>
          <w:szCs w:val="20"/>
        </w:rPr>
        <w:t xml:space="preserve"> Thu Hang</w:t>
      </w:r>
    </w:p>
    <w:p w:rsidR="00485B2B" w:rsidRDefault="00602463" w:rsidP="005610CB">
      <w:pPr>
        <w:spacing w:line="360" w:lineRule="auto"/>
        <w:jc w:val="both"/>
        <w:rPr>
          <w:rFonts w:ascii="Arial" w:hAnsi="Arial" w:cs="Arial"/>
          <w:sz w:val="20"/>
          <w:szCs w:val="20"/>
        </w:rPr>
      </w:pPr>
      <w:r w:rsidRPr="00602463">
        <w:rPr>
          <w:rFonts w:ascii="Arial" w:hAnsi="Arial" w:cs="Arial"/>
          <w:sz w:val="20"/>
          <w:szCs w:val="20"/>
        </w:rPr>
        <w:t xml:space="preserve">Based on the Company's Charter, Mr. Nguyen </w:t>
      </w:r>
      <w:proofErr w:type="spellStart"/>
      <w:r w:rsidRPr="00602463">
        <w:rPr>
          <w:rFonts w:ascii="Arial" w:hAnsi="Arial" w:cs="Arial"/>
          <w:sz w:val="20"/>
          <w:szCs w:val="20"/>
        </w:rPr>
        <w:t>Phong</w:t>
      </w:r>
      <w:proofErr w:type="spellEnd"/>
      <w:r w:rsidRPr="00602463">
        <w:rPr>
          <w:rFonts w:ascii="Arial" w:hAnsi="Arial" w:cs="Arial"/>
          <w:sz w:val="20"/>
          <w:szCs w:val="20"/>
        </w:rPr>
        <w:t xml:space="preserve"> </w:t>
      </w:r>
      <w:proofErr w:type="spellStart"/>
      <w:r w:rsidRPr="00602463">
        <w:rPr>
          <w:rFonts w:ascii="Arial" w:hAnsi="Arial" w:cs="Arial"/>
          <w:sz w:val="20"/>
          <w:szCs w:val="20"/>
        </w:rPr>
        <w:t>Danh</w:t>
      </w:r>
      <w:proofErr w:type="spellEnd"/>
      <w:r w:rsidRPr="00602463">
        <w:rPr>
          <w:rFonts w:ascii="Arial" w:hAnsi="Arial" w:cs="Arial"/>
          <w:sz w:val="20"/>
          <w:szCs w:val="20"/>
        </w:rPr>
        <w:t xml:space="preserve"> and Ms. </w:t>
      </w:r>
      <w:proofErr w:type="spellStart"/>
      <w:r w:rsidRPr="00602463">
        <w:rPr>
          <w:rFonts w:ascii="Arial" w:hAnsi="Arial" w:cs="Arial"/>
          <w:sz w:val="20"/>
          <w:szCs w:val="20"/>
        </w:rPr>
        <w:t>Luong</w:t>
      </w:r>
      <w:proofErr w:type="spellEnd"/>
      <w:r w:rsidRPr="00602463">
        <w:rPr>
          <w:rFonts w:ascii="Arial" w:hAnsi="Arial" w:cs="Arial"/>
          <w:sz w:val="20"/>
          <w:szCs w:val="20"/>
        </w:rPr>
        <w:t xml:space="preserve"> Thu Hang were elected as members of the Board of Dire</w:t>
      </w:r>
      <w:r w:rsidR="00485B2B">
        <w:rPr>
          <w:rFonts w:ascii="Arial" w:hAnsi="Arial" w:cs="Arial"/>
          <w:sz w:val="20"/>
          <w:szCs w:val="20"/>
        </w:rPr>
        <w:t>ctors for the term 2016 – 2021</w:t>
      </w:r>
    </w:p>
    <w:p w:rsidR="00485B2B" w:rsidRDefault="00485B2B" w:rsidP="005610CB">
      <w:pPr>
        <w:spacing w:line="360" w:lineRule="auto"/>
        <w:jc w:val="both"/>
        <w:rPr>
          <w:rFonts w:ascii="Arial" w:hAnsi="Arial" w:cs="Arial"/>
          <w:sz w:val="20"/>
          <w:szCs w:val="20"/>
        </w:rPr>
      </w:pPr>
      <w:r>
        <w:rPr>
          <w:rFonts w:ascii="Arial" w:hAnsi="Arial" w:cs="Arial"/>
          <w:sz w:val="20"/>
          <w:szCs w:val="20"/>
        </w:rPr>
        <w:t>Article 14:</w:t>
      </w:r>
      <w:r w:rsidR="00602463" w:rsidRPr="00602463">
        <w:rPr>
          <w:rFonts w:ascii="Arial" w:hAnsi="Arial" w:cs="Arial"/>
          <w:sz w:val="20"/>
          <w:szCs w:val="20"/>
        </w:rPr>
        <w:t xml:space="preserve"> Results of additional election of Supervisory Board members for the term 2016 - 2021: </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 Mr. Nguyen Ngoc </w:t>
      </w:r>
      <w:proofErr w:type="spellStart"/>
      <w:r>
        <w:rPr>
          <w:rFonts w:ascii="Arial" w:hAnsi="Arial" w:cs="Arial"/>
          <w:sz w:val="20"/>
          <w:szCs w:val="20"/>
        </w:rPr>
        <w:t>Thien</w:t>
      </w:r>
      <w:proofErr w:type="spellEnd"/>
    </w:p>
    <w:p w:rsidR="00485B2B" w:rsidRDefault="00602463" w:rsidP="005610CB">
      <w:pPr>
        <w:spacing w:line="360" w:lineRule="auto"/>
        <w:jc w:val="both"/>
        <w:rPr>
          <w:rFonts w:ascii="Arial" w:hAnsi="Arial" w:cs="Arial"/>
          <w:sz w:val="20"/>
          <w:szCs w:val="20"/>
        </w:rPr>
      </w:pPr>
      <w:r w:rsidRPr="00602463">
        <w:rPr>
          <w:rFonts w:ascii="Arial" w:hAnsi="Arial" w:cs="Arial"/>
          <w:sz w:val="20"/>
          <w:szCs w:val="20"/>
        </w:rPr>
        <w:lastRenderedPageBreak/>
        <w:t xml:space="preserve">Based on the Company's Charter of Organization and Operation, Mr. Nguyen Ngoc </w:t>
      </w:r>
      <w:proofErr w:type="spellStart"/>
      <w:r w:rsidRPr="00602463">
        <w:rPr>
          <w:rFonts w:ascii="Arial" w:hAnsi="Arial" w:cs="Arial"/>
          <w:sz w:val="20"/>
          <w:szCs w:val="20"/>
        </w:rPr>
        <w:t>Thien</w:t>
      </w:r>
      <w:proofErr w:type="spellEnd"/>
      <w:r w:rsidRPr="00602463">
        <w:rPr>
          <w:rFonts w:ascii="Arial" w:hAnsi="Arial" w:cs="Arial"/>
          <w:sz w:val="20"/>
          <w:szCs w:val="20"/>
        </w:rPr>
        <w:t xml:space="preserve"> was elected as a member of the Supervisory</w:t>
      </w:r>
      <w:r w:rsidR="00485B2B">
        <w:rPr>
          <w:rFonts w:ascii="Arial" w:hAnsi="Arial" w:cs="Arial"/>
          <w:sz w:val="20"/>
          <w:szCs w:val="20"/>
        </w:rPr>
        <w:t xml:space="preserve"> Board for the term 2016 – 2021</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Article 15: </w:t>
      </w:r>
      <w:r w:rsidR="00602463" w:rsidRPr="00602463">
        <w:rPr>
          <w:rFonts w:ascii="Arial" w:hAnsi="Arial" w:cs="Arial"/>
          <w:sz w:val="20"/>
          <w:szCs w:val="20"/>
        </w:rPr>
        <w:t xml:space="preserve">The </w:t>
      </w:r>
      <w:r>
        <w:rPr>
          <w:rFonts w:ascii="Arial" w:hAnsi="Arial" w:cs="Arial"/>
          <w:sz w:val="20"/>
          <w:szCs w:val="20"/>
        </w:rPr>
        <w:t>General Meeting of Shareholders</w:t>
      </w:r>
      <w:r w:rsidR="00602463" w:rsidRPr="00602463">
        <w:rPr>
          <w:rFonts w:ascii="Arial" w:hAnsi="Arial" w:cs="Arial"/>
          <w:sz w:val="20"/>
          <w:szCs w:val="20"/>
        </w:rPr>
        <w:t xml:space="preserve"> authorized the Chairman of the </w:t>
      </w:r>
      <w:r>
        <w:rPr>
          <w:rFonts w:ascii="Arial" w:hAnsi="Arial" w:cs="Arial"/>
          <w:sz w:val="20"/>
          <w:szCs w:val="20"/>
        </w:rPr>
        <w:t>Board of Directors</w:t>
      </w:r>
      <w:r w:rsidR="00602463" w:rsidRPr="00602463">
        <w:rPr>
          <w:rFonts w:ascii="Arial" w:hAnsi="Arial" w:cs="Arial"/>
          <w:sz w:val="20"/>
          <w:szCs w:val="20"/>
        </w:rPr>
        <w:t xml:space="preserve"> to close th</w:t>
      </w:r>
      <w:r>
        <w:rPr>
          <w:rFonts w:ascii="Arial" w:hAnsi="Arial" w:cs="Arial"/>
          <w:sz w:val="20"/>
          <w:szCs w:val="20"/>
        </w:rPr>
        <w:t>e list of shareholders and pay the second dividend in Quarter II/ 2020</w:t>
      </w:r>
    </w:p>
    <w:p w:rsidR="00485B2B" w:rsidRDefault="00485B2B" w:rsidP="005610CB">
      <w:pPr>
        <w:spacing w:line="360" w:lineRule="auto"/>
        <w:jc w:val="both"/>
        <w:rPr>
          <w:rFonts w:ascii="Arial" w:hAnsi="Arial" w:cs="Arial"/>
          <w:sz w:val="20"/>
          <w:szCs w:val="20"/>
        </w:rPr>
      </w:pPr>
      <w:r>
        <w:rPr>
          <w:rFonts w:ascii="Arial" w:hAnsi="Arial" w:cs="Arial"/>
          <w:sz w:val="20"/>
          <w:szCs w:val="20"/>
        </w:rPr>
        <w:t xml:space="preserve"> Article 16:</w:t>
      </w:r>
      <w:r w:rsidR="00602463" w:rsidRPr="00602463">
        <w:rPr>
          <w:rFonts w:ascii="Arial" w:hAnsi="Arial" w:cs="Arial"/>
          <w:sz w:val="20"/>
          <w:szCs w:val="20"/>
        </w:rPr>
        <w:t xml:space="preserve"> </w:t>
      </w:r>
      <w:r>
        <w:rPr>
          <w:rFonts w:ascii="Arial" w:hAnsi="Arial" w:cs="Arial"/>
          <w:sz w:val="20"/>
          <w:szCs w:val="20"/>
        </w:rPr>
        <w:t>E</w:t>
      </w:r>
      <w:r w:rsidR="00602463" w:rsidRPr="00602463">
        <w:rPr>
          <w:rFonts w:ascii="Arial" w:hAnsi="Arial" w:cs="Arial"/>
          <w:sz w:val="20"/>
          <w:szCs w:val="20"/>
        </w:rPr>
        <w:t xml:space="preserve">nforcement </w:t>
      </w:r>
    </w:p>
    <w:p w:rsidR="00602463" w:rsidRDefault="00485B2B" w:rsidP="005610CB">
      <w:pPr>
        <w:spacing w:line="360" w:lineRule="auto"/>
        <w:jc w:val="both"/>
        <w:rPr>
          <w:rFonts w:ascii="Arial" w:hAnsi="Arial" w:cs="Arial"/>
          <w:sz w:val="20"/>
          <w:szCs w:val="20"/>
        </w:rPr>
      </w:pPr>
      <w:r>
        <w:rPr>
          <w:rFonts w:ascii="Arial" w:hAnsi="Arial" w:cs="Arial"/>
          <w:sz w:val="20"/>
          <w:szCs w:val="20"/>
        </w:rPr>
        <w:t>- This Resolution was</w:t>
      </w:r>
      <w:r w:rsidR="00602463" w:rsidRPr="00602463">
        <w:rPr>
          <w:rFonts w:ascii="Arial" w:hAnsi="Arial" w:cs="Arial"/>
          <w:sz w:val="20"/>
          <w:szCs w:val="20"/>
        </w:rPr>
        <w:t xml:space="preserve"> approved by the General Meeting of Shareholders in full text at the Annual General Meeting of Shareholders on March 27, 2020 and takes e</w:t>
      </w:r>
      <w:r>
        <w:rPr>
          <w:rFonts w:ascii="Arial" w:hAnsi="Arial" w:cs="Arial"/>
          <w:sz w:val="20"/>
          <w:szCs w:val="20"/>
        </w:rPr>
        <w:t>ffect from the date of approval</w:t>
      </w:r>
    </w:p>
    <w:p w:rsidR="00485B2B" w:rsidRDefault="00485B2B" w:rsidP="005610CB">
      <w:pPr>
        <w:spacing w:line="360" w:lineRule="auto"/>
        <w:jc w:val="both"/>
        <w:rPr>
          <w:rFonts w:ascii="Arial" w:hAnsi="Arial" w:cs="Arial"/>
          <w:sz w:val="20"/>
          <w:szCs w:val="20"/>
        </w:rPr>
      </w:pPr>
      <w:r>
        <w:rPr>
          <w:rFonts w:ascii="Arial" w:hAnsi="Arial" w:cs="Arial"/>
          <w:sz w:val="20"/>
          <w:szCs w:val="20"/>
        </w:rPr>
        <w:t>- Members of Board of Directors, Supervisory Board, and Management Board are responsible for implementing this General Mandate in accordance with the law and Charter of the Company based on their functions</w:t>
      </w:r>
    </w:p>
    <w:sectPr w:rsidR="0048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305E7"/>
    <w:multiLevelType w:val="hybridMultilevel"/>
    <w:tmpl w:val="24CADFD2"/>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50E3D"/>
    <w:rsid w:val="000A0B74"/>
    <w:rsid w:val="00132EC5"/>
    <w:rsid w:val="00146DCF"/>
    <w:rsid w:val="0016411D"/>
    <w:rsid w:val="001F34A1"/>
    <w:rsid w:val="001F6744"/>
    <w:rsid w:val="002D481A"/>
    <w:rsid w:val="002D4939"/>
    <w:rsid w:val="002D53EE"/>
    <w:rsid w:val="002E7FD0"/>
    <w:rsid w:val="00304722"/>
    <w:rsid w:val="0032194F"/>
    <w:rsid w:val="00327CF7"/>
    <w:rsid w:val="00397004"/>
    <w:rsid w:val="003A5CE9"/>
    <w:rsid w:val="003B73F7"/>
    <w:rsid w:val="00467BC0"/>
    <w:rsid w:val="00474FB3"/>
    <w:rsid w:val="00485B2B"/>
    <w:rsid w:val="00496733"/>
    <w:rsid w:val="004B2BA6"/>
    <w:rsid w:val="00503DD6"/>
    <w:rsid w:val="0052379D"/>
    <w:rsid w:val="005610CB"/>
    <w:rsid w:val="0058434E"/>
    <w:rsid w:val="005B40E5"/>
    <w:rsid w:val="00602463"/>
    <w:rsid w:val="006E15A6"/>
    <w:rsid w:val="00745D9A"/>
    <w:rsid w:val="0077456B"/>
    <w:rsid w:val="007A072F"/>
    <w:rsid w:val="007A1FCC"/>
    <w:rsid w:val="007B67AF"/>
    <w:rsid w:val="008134FC"/>
    <w:rsid w:val="00837771"/>
    <w:rsid w:val="0084485C"/>
    <w:rsid w:val="00853748"/>
    <w:rsid w:val="008544C2"/>
    <w:rsid w:val="00981275"/>
    <w:rsid w:val="009C28F2"/>
    <w:rsid w:val="009E1744"/>
    <w:rsid w:val="00A06443"/>
    <w:rsid w:val="00A06521"/>
    <w:rsid w:val="00A128FC"/>
    <w:rsid w:val="00A34999"/>
    <w:rsid w:val="00A63B6C"/>
    <w:rsid w:val="00AA54AD"/>
    <w:rsid w:val="00AB2C99"/>
    <w:rsid w:val="00AB32F6"/>
    <w:rsid w:val="00AC4F64"/>
    <w:rsid w:val="00AF67BE"/>
    <w:rsid w:val="00B04704"/>
    <w:rsid w:val="00B70D7E"/>
    <w:rsid w:val="00BA1F12"/>
    <w:rsid w:val="00BA3FB7"/>
    <w:rsid w:val="00BD3CCA"/>
    <w:rsid w:val="00C36031"/>
    <w:rsid w:val="00C940B5"/>
    <w:rsid w:val="00D52C26"/>
    <w:rsid w:val="00D74339"/>
    <w:rsid w:val="00D77F89"/>
    <w:rsid w:val="00DA54D0"/>
    <w:rsid w:val="00DD263A"/>
    <w:rsid w:val="00DE5C3C"/>
    <w:rsid w:val="00E5565D"/>
    <w:rsid w:val="00F272CE"/>
    <w:rsid w:val="00F320D6"/>
    <w:rsid w:val="00F86F7A"/>
    <w:rsid w:val="00F903A5"/>
    <w:rsid w:val="00FD3EED"/>
    <w:rsid w:val="00FD4001"/>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72</cp:revision>
  <dcterms:created xsi:type="dcterms:W3CDTF">2019-10-16T10:03:00Z</dcterms:created>
  <dcterms:modified xsi:type="dcterms:W3CDTF">2020-04-01T08:17:00Z</dcterms:modified>
</cp:coreProperties>
</file>